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53D92"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i/>
          <w:sz w:val="24"/>
          <w:szCs w:val="24"/>
        </w:rPr>
        <w:t>For the use of a Registered Medical Practitioner only</w:t>
      </w:r>
    </w:p>
    <w:p w14:paraId="1C353D93" w14:textId="77777777" w:rsidR="00C64539" w:rsidRDefault="00C64539">
      <w:pPr>
        <w:spacing w:after="0" w:line="240" w:lineRule="auto"/>
        <w:jc w:val="both"/>
        <w:rPr>
          <w:rFonts w:ascii="Times New Roman" w:hAnsi="Times New Roman" w:cs="Times New Roman"/>
          <w:b/>
          <w:sz w:val="24"/>
          <w:szCs w:val="24"/>
        </w:rPr>
      </w:pPr>
    </w:p>
    <w:p w14:paraId="1C353D94" w14:textId="77777777" w:rsidR="00C64539" w:rsidRDefault="006F58E8">
      <w:pPr>
        <w:pStyle w:val="ListParagraph"/>
        <w:numPr>
          <w:ilvl w:val="0"/>
          <w:numId w:val="1"/>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GENERIC NAME AND BRAND NAME</w:t>
      </w:r>
    </w:p>
    <w:p w14:paraId="1C353D95"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Chlordiazepoxide &amp; Clidinium Bromide Tablets</w:t>
      </w:r>
    </w:p>
    <w:p w14:paraId="1C353D96"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Librax</w:t>
      </w:r>
      <w:r>
        <w:rPr>
          <w:rFonts w:ascii="Times New Roman" w:hAnsi="Times New Roman" w:cs="Times New Roman"/>
          <w:b/>
          <w:bCs/>
          <w:sz w:val="24"/>
          <w:szCs w:val="24"/>
          <w:vertAlign w:val="superscript"/>
        </w:rPr>
        <w:t>®</w:t>
      </w:r>
    </w:p>
    <w:p w14:paraId="1C353D97" w14:textId="77777777" w:rsidR="00C64539" w:rsidRDefault="00C64539">
      <w:pPr>
        <w:spacing w:after="0" w:line="240" w:lineRule="auto"/>
        <w:jc w:val="both"/>
        <w:rPr>
          <w:rFonts w:ascii="Times New Roman" w:hAnsi="Times New Roman" w:cs="Times New Roman"/>
          <w:b/>
          <w:sz w:val="24"/>
          <w:szCs w:val="24"/>
        </w:rPr>
      </w:pPr>
    </w:p>
    <w:p w14:paraId="1C353D98"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2.0 QUALITATIVE AND QUANTITATIVE COMPOSITION</w:t>
      </w:r>
      <w:r>
        <w:rPr>
          <w:rFonts w:ascii="Times New Roman" w:hAnsi="Times New Roman" w:cs="Times New Roman"/>
          <w:b/>
          <w:sz w:val="24"/>
          <w:szCs w:val="24"/>
        </w:rPr>
        <w:t xml:space="preserve"> : </w:t>
      </w:r>
    </w:p>
    <w:p w14:paraId="1C353D99" w14:textId="2B869C33"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Each film coated tablet contains:</w:t>
      </w:r>
    </w:p>
    <w:p w14:paraId="1C353D9A"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Chlordiazepoxide I.P.</w:t>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t xml:space="preserve"> 5 mg</w:t>
      </w:r>
    </w:p>
    <w:p w14:paraId="1C353D9B"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Clidinium Bromide USP         2.5 mg</w:t>
      </w:r>
    </w:p>
    <w:p w14:paraId="1C353D9C"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Excipients</w:t>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r>
      <w:r>
        <w:rPr>
          <w:rFonts w:ascii="Times New Roman" w:eastAsia="Times New Roman" w:hAnsi="Times New Roman" w:cs="Times New Roman"/>
          <w:sz w:val="24"/>
          <w:szCs w:val="24"/>
          <w:lang w:eastAsia="en-IN"/>
        </w:rPr>
        <w:tab/>
        <w:t xml:space="preserve"> q.s.</w:t>
      </w:r>
    </w:p>
    <w:p w14:paraId="1C353D9D" w14:textId="299122BE"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Colours: Titanium Dioxide I.P., Ferric Oxide USP NF Yellow &amp; Indigo Carmine </w:t>
      </w:r>
      <w:r w:rsidR="00317F87" w:rsidRPr="00C670D8">
        <w:rPr>
          <w:rFonts w:ascii="Times New Roman" w:eastAsia="Times New Roman" w:hAnsi="Times New Roman" w:cs="Times New Roman"/>
          <w:sz w:val="24"/>
          <w:szCs w:val="24"/>
          <w:lang w:eastAsia="en-IN"/>
        </w:rPr>
        <w:t>Aluminum</w:t>
      </w:r>
      <w:r>
        <w:rPr>
          <w:rFonts w:ascii="Times New Roman" w:eastAsia="Times New Roman" w:hAnsi="Times New Roman" w:cs="Times New Roman"/>
          <w:sz w:val="24"/>
          <w:szCs w:val="24"/>
          <w:lang w:eastAsia="en-IN"/>
        </w:rPr>
        <w:t xml:space="preserve"> Lake</w:t>
      </w:r>
    </w:p>
    <w:p w14:paraId="1C353D9E" w14:textId="77777777" w:rsidR="00C64539" w:rsidRDefault="00C64539">
      <w:pPr>
        <w:spacing w:after="0" w:line="240" w:lineRule="auto"/>
        <w:jc w:val="both"/>
        <w:rPr>
          <w:rFonts w:ascii="Times New Roman" w:hAnsi="Times New Roman" w:cs="Times New Roman"/>
          <w:b/>
          <w:sz w:val="24"/>
          <w:szCs w:val="24"/>
        </w:rPr>
      </w:pPr>
    </w:p>
    <w:p w14:paraId="1C353D9F" w14:textId="77777777" w:rsidR="00C64539" w:rsidRDefault="006F58E8">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DOSAGE FORM AND STRENGTH</w:t>
      </w:r>
    </w:p>
    <w:p w14:paraId="1C353DA0" w14:textId="12212D7A" w:rsidR="00C64539" w:rsidRDefault="006F58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Refer section 1 &amp; 2</w:t>
      </w:r>
    </w:p>
    <w:p w14:paraId="1C353DA1" w14:textId="77777777" w:rsidR="00C64539" w:rsidRDefault="00C64539">
      <w:pPr>
        <w:spacing w:after="0" w:line="240" w:lineRule="auto"/>
        <w:jc w:val="both"/>
        <w:rPr>
          <w:rFonts w:ascii="Times New Roman" w:hAnsi="Times New Roman" w:cs="Times New Roman"/>
          <w:b/>
          <w:sz w:val="24"/>
          <w:szCs w:val="24"/>
        </w:rPr>
      </w:pPr>
    </w:p>
    <w:p w14:paraId="1C353DA2" w14:textId="77777777" w:rsidR="00C64539" w:rsidRDefault="006F58E8">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CLINICAL PARTICULARS</w:t>
      </w:r>
    </w:p>
    <w:p w14:paraId="1C353DA3" w14:textId="77777777" w:rsidR="00C64539" w:rsidRDefault="006F58E8">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4.1 THERAPEUTIC INDICATIONS </w:t>
      </w:r>
    </w:p>
    <w:p w14:paraId="1C353DA4"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Indicated for the treatment of organic manifestations of anxiety and tension in gastrointestinal and genitourinary tracts. The conditions may (but not limited to) include irritable bowel syndrome, dysmenorrhea, gastric &amp; duodenal ulcer, gastro-duodenitis, intestinal spasms, ureteric spasm, biliary dyskinesia etc.</w:t>
      </w:r>
    </w:p>
    <w:p w14:paraId="1C353DA5" w14:textId="77777777" w:rsidR="00C64539" w:rsidRDefault="00C64539">
      <w:pPr>
        <w:spacing w:after="0" w:line="240" w:lineRule="auto"/>
        <w:jc w:val="both"/>
        <w:rPr>
          <w:rFonts w:ascii="Times New Roman" w:hAnsi="Times New Roman" w:cs="Times New Roman"/>
          <w:sz w:val="24"/>
          <w:szCs w:val="24"/>
        </w:rPr>
      </w:pPr>
    </w:p>
    <w:p w14:paraId="1C353DA6"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4.2 POSOLOGY AND METHOD OF ADMINISTRATION</w:t>
      </w:r>
      <w:r>
        <w:rPr>
          <w:rFonts w:ascii="Times New Roman" w:hAnsi="Times New Roman" w:cs="Times New Roman"/>
          <w:b/>
          <w:sz w:val="24"/>
          <w:szCs w:val="24"/>
        </w:rPr>
        <w:t xml:space="preserve"> </w:t>
      </w:r>
    </w:p>
    <w:p w14:paraId="1C353DA7"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Adults: </w:t>
      </w:r>
    </w:p>
    <w:p w14:paraId="1C353DA8"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tablets 3–4 times daily.  Elderly or debilitated: 1-2 tabs daily initially, then may increase gradually. In dysmenorrhoea, the drug should be taken three to four days prior to menstruation or as directed by the physician</w:t>
      </w:r>
    </w:p>
    <w:p w14:paraId="1C353DA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Children: </w:t>
      </w:r>
      <w:r>
        <w:rPr>
          <w:rFonts w:ascii="Times New Roman" w:hAnsi="Times New Roman" w:cs="Times New Roman"/>
          <w:sz w:val="24"/>
          <w:szCs w:val="24"/>
        </w:rPr>
        <w:t xml:space="preserve">Not recommended </w:t>
      </w:r>
    </w:p>
    <w:p w14:paraId="1C353DAA" w14:textId="5E620BBB"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Elderly or </w:t>
      </w:r>
      <w:r w:rsidR="0042784A">
        <w:rPr>
          <w:rFonts w:ascii="Times New Roman" w:hAnsi="Times New Roman" w:cs="Times New Roman"/>
          <w:b/>
          <w:sz w:val="24"/>
          <w:szCs w:val="24"/>
        </w:rPr>
        <w:t xml:space="preserve">debilitated </w:t>
      </w:r>
      <w:r>
        <w:rPr>
          <w:rFonts w:ascii="Times New Roman" w:hAnsi="Times New Roman" w:cs="Times New Roman"/>
          <w:b/>
          <w:sz w:val="24"/>
          <w:szCs w:val="24"/>
        </w:rPr>
        <w:t xml:space="preserve">patients and Special patient groups: </w:t>
      </w:r>
      <w:r>
        <w:rPr>
          <w:rFonts w:ascii="Times New Roman" w:hAnsi="Times New Roman" w:cs="Times New Roman"/>
          <w:sz w:val="24"/>
          <w:szCs w:val="24"/>
        </w:rPr>
        <w:t>In elderly patients, renal or hepatic insufficiency, dosage adjustment is required.</w:t>
      </w:r>
    </w:p>
    <w:p w14:paraId="1C353DA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tablets should be swallowed with water. They may be taken with meals, when going to bed or when experiencing pain. Treatment must be as brief as possible. The indication will be re-evaluated regularly, especially in the absence of symptoms. The total duration of treatment should not exceed 8 to 12 weeks for the majority of patients.</w:t>
      </w:r>
    </w:p>
    <w:p w14:paraId="1C353DAC" w14:textId="77777777" w:rsidR="00C64539" w:rsidRDefault="00C64539">
      <w:pPr>
        <w:spacing w:after="0" w:line="240" w:lineRule="auto"/>
        <w:jc w:val="both"/>
        <w:rPr>
          <w:rFonts w:ascii="Times New Roman" w:hAnsi="Times New Roman" w:cs="Times New Roman"/>
          <w:b/>
          <w:sz w:val="24"/>
          <w:szCs w:val="24"/>
        </w:rPr>
      </w:pPr>
    </w:p>
    <w:p w14:paraId="1C353DAD"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 CONTRAINDICATIONS</w:t>
      </w:r>
    </w:p>
    <w:p w14:paraId="1C353DA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Librax is contraindicated in  </w:t>
      </w:r>
    </w:p>
    <w:p w14:paraId="1C353DAF"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hypersensitivity to the active substances or to any of the excipients</w:t>
      </w:r>
    </w:p>
    <w:p w14:paraId="1C353DB0"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Pathological subjects aged over 65 years, patients aged over 75 years and children under 6 years</w:t>
      </w:r>
    </w:p>
    <w:p w14:paraId="1C353DB1" w14:textId="02B58B15"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of angle-closure glaucoma</w:t>
      </w:r>
    </w:p>
    <w:p w14:paraId="1C353DB2"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of urinary retention associated with urethra-prostatic disorders</w:t>
      </w:r>
    </w:p>
    <w:p w14:paraId="1C353DB3"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Breastfeeding </w:t>
      </w:r>
    </w:p>
    <w:p w14:paraId="1C353DB4"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Severe respiratory insufficiency</w:t>
      </w:r>
    </w:p>
    <w:p w14:paraId="1C353DB5" w14:textId="70B8D94A"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Sleep apnoea syndrome</w:t>
      </w:r>
    </w:p>
    <w:p w14:paraId="1C353DB6" w14:textId="3B43088B"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Severe, acute or chronic hepatic insufficiency (risk of occurrence of encephalopathy)</w:t>
      </w:r>
    </w:p>
    <w:p w14:paraId="1C353DB7" w14:textId="77777777" w:rsidR="00C64539" w:rsidRDefault="006F58E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Myasthenia gravis </w:t>
      </w:r>
    </w:p>
    <w:p w14:paraId="1C353DB8" w14:textId="77777777" w:rsidR="00C64539" w:rsidRDefault="00C64539">
      <w:pPr>
        <w:spacing w:after="0" w:line="240" w:lineRule="auto"/>
        <w:jc w:val="both"/>
        <w:rPr>
          <w:rFonts w:ascii="Times New Roman" w:hAnsi="Times New Roman" w:cs="Times New Roman"/>
          <w:b/>
          <w:sz w:val="24"/>
          <w:szCs w:val="24"/>
        </w:rPr>
      </w:pPr>
    </w:p>
    <w:p w14:paraId="1C353DB9" w14:textId="77777777" w:rsidR="00C64539" w:rsidRDefault="006F58E8">
      <w:pPr>
        <w:autoSpaceDE w:val="0"/>
        <w:autoSpaceDN w:val="0"/>
        <w:adjustRightInd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4.4 SPECIAL WARNINGS AND PRECAUTIONS FOR USE</w:t>
      </w:r>
    </w:p>
    <w:p w14:paraId="1C353DBA"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Synergistic Effect</w:t>
      </w:r>
    </w:p>
    <w:p w14:paraId="1C353DBB" w14:textId="2428601A" w:rsidR="00C64539" w:rsidRDefault="004278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Benzodiazepines </w:t>
      </w:r>
      <w:r w:rsidR="006F58E8">
        <w:rPr>
          <w:rFonts w:ascii="Times New Roman" w:hAnsi="Times New Roman" w:cs="Times New Roman"/>
          <w:sz w:val="24"/>
          <w:szCs w:val="24"/>
        </w:rPr>
        <w:t xml:space="preserve">such as chlordiazepoxide can have a synergistic effect with other drugs especially sedatives and Clidinium may have synergistic effects with atropine or other anti-muscarinic drugs. </w:t>
      </w:r>
    </w:p>
    <w:p w14:paraId="1C353DBC"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Duration of treatment </w:t>
      </w:r>
    </w:p>
    <w:p w14:paraId="1C353DBD"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duration of treatment including the tapering off process, should be as short as possible but should not exceed 8 to 12 weeks. Only after re-evaluation of the situation, extension beyond these periods may be done.</w:t>
      </w:r>
    </w:p>
    <w:p w14:paraId="1C353DB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benzodiazepines with a long duration of action are being used, change to a benzodiazepine with a short duration of action should not be done, as withdrawal symptoms may develop. </w:t>
      </w:r>
    </w:p>
    <w:p w14:paraId="1C353DBF"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Alcohol and drug abuse</w:t>
      </w:r>
    </w:p>
    <w:p w14:paraId="1C353DC0"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Caution is to be exercised before commencing therapy, if there is a history of alcoholism or other dependences, drug related or otherwise. </w:t>
      </w:r>
    </w:p>
    <w:p w14:paraId="1C353DC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Major depressive episodes</w:t>
      </w:r>
    </w:p>
    <w:p w14:paraId="1C353DC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Since they allow depression to develop separately with a persistent or increased risk of suicide, benzodiazepines should not be prescribed alone </w:t>
      </w:r>
    </w:p>
    <w:p w14:paraId="1C353DC3"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Tolerance</w:t>
      </w:r>
    </w:p>
    <w:p w14:paraId="1C353DC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repeated use, loss of efficacy to the hypnotic effects of benzodiazepines may develop.</w:t>
      </w:r>
    </w:p>
    <w:p w14:paraId="1C353DC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Dependence</w:t>
      </w:r>
    </w:p>
    <w:p w14:paraId="1C353DC6"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Use of benzodiazepines (even at therapeutic doses) may lead to the development of physical and psychic dependence upon these products which is dose and time dependent. The risk of dependence increases with a history of alcohol or drug abuse. If the treatment is withdrawn abruptly, symptoms like insomnia, muscle tension, muscle pain, headaches, tension, restlessness, confusion, hyperreactivity, extreme anxiety, and irritability may develop. In severe cases the following symptoms may occur: derealisation, hypersensitivity to light, depersonalisation, hyperacusis, noise and physical contact, hallucinations, numbness and tingling of the extremities, or epileptic seizures. </w:t>
      </w:r>
    </w:p>
    <w:p w14:paraId="1C353DC7"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Rebound reactions</w:t>
      </w:r>
    </w:p>
    <w:p w14:paraId="1C353DC8"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Upon the withdrawal of therapy, a transient syndrome may occur whereby the symptoms that led to treatment with a benzodiazepine recur in an enhanced form which are accompanied by other reactions such as mood changes, anxiety or sleep disturbances and restlessness. The dosage is reduced gradually as risk of withdrawal/rebound phenomena is greater after abrupt discontinuation of treatment.</w:t>
      </w:r>
    </w:p>
    <w:p w14:paraId="1C353DC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Amnesia and alteration in psychomotor function</w:t>
      </w:r>
    </w:p>
    <w:p w14:paraId="1C353DCA"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Benzodiazepines may induce anterograde amnesia along with alterations in the psychomotor functions several hours after ingesting the drug.</w:t>
      </w:r>
    </w:p>
    <w:p w14:paraId="1C353DC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Psychiatric and paradoxical reactions</w:t>
      </w:r>
    </w:p>
    <w:p w14:paraId="1C353DC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Benzodiazepines may give rise to an alteration in the state of consciousness, behavioural and memory problems, the symptoms of which are aggravation of insomnia, nightmares, agitation, nervousness, loss of inhibitions with impulsiveness, psychotic type symptoms, anterograde amnesia, delirious thoughts, hallucinations, euphoria, irritability, confusional state, suggestibility. Discontinue treatment, if these symptoms occur. Extreme caution should be used prescribing benzodiazepines to patients with personality disorders.</w:t>
      </w:r>
    </w:p>
    <w:p w14:paraId="1C353DCD"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Paradoxical reactions to chlordiazepoxide hydrochloride such as excitement, stimulation and acute rage, have been observed in psychiatric patients and the patient must be monitored for during Librax (chlordiazepoxide and clidinium) therapy.</w:t>
      </w:r>
    </w:p>
    <w:p w14:paraId="1C353DCE"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Withdrawal symptoms</w:t>
      </w:r>
    </w:p>
    <w:p w14:paraId="1C353DCF"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Withdrawal symptoms of the barbiturate type have occurred after the discontinuation of benzodiazepines.</w:t>
      </w:r>
    </w:p>
    <w:p w14:paraId="1C353DD0"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Rebound reactions</w:t>
      </w:r>
    </w:p>
    <w:p w14:paraId="1C353DD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Upon the discontinuation of treatment, a transient syndrome may occur whereby the</w:t>
      </w:r>
    </w:p>
    <w:p w14:paraId="1C353DD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symptoms that led to treatment with a benzodiazepine recur in an enhanced form. It may be accompanied by other reactions including mood changes, anxiety or sleep disturbances and restlessness. Since the risk of withdrawal/rebound phenomena is greater after abrupt discontinuation of treatment, it is recommended that the dosage is decreased gradually.</w:t>
      </w:r>
    </w:p>
    <w:p w14:paraId="1C353DD3"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Debilitated patients</w:t>
      </w:r>
    </w:p>
    <w:p w14:paraId="1C353DD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debilitated patients, the dose of Librax must be limited to the smallest effective amount to prevent the development of ataxia, over-sedation or confusion. It has been recommended that initially not more than 2 Librax (chlordiazepoxide and clidinium) tablets per day be given, and then the dose may be increased gradually as required depending on the tolerability of the patient. The concomitant administration of Librax and other psychotropic agents is not recommended. If such combination therapy is given, careful consideration must be given to the pharmacology of the drugs to be administered, particularly drugs such as the MAO inhibitors and phenothiazines.</w:t>
      </w:r>
    </w:p>
    <w:p w14:paraId="1C353DD5"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Prostate hypertrophy</w:t>
      </w:r>
    </w:p>
    <w:p w14:paraId="1C353DD6"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Caution should be exercised in prescribing Clidinium bromide to prostate hypertrophy patients.</w:t>
      </w:r>
    </w:p>
    <w:p w14:paraId="1C353DD7" w14:textId="77777777" w:rsidR="00C64539" w:rsidRDefault="00C64539">
      <w:pPr>
        <w:spacing w:after="0" w:line="240" w:lineRule="auto"/>
        <w:jc w:val="both"/>
        <w:rPr>
          <w:rFonts w:ascii="Times New Roman" w:hAnsi="Times New Roman" w:cs="Times New Roman"/>
          <w:sz w:val="24"/>
          <w:szCs w:val="24"/>
        </w:rPr>
      </w:pPr>
    </w:p>
    <w:p w14:paraId="1C353DD8"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Renal or hepatic Impairment</w:t>
      </w:r>
    </w:p>
    <w:p w14:paraId="1C353DD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Caution should be exercised in prescribing Clidinium bromide to patients with renal and hepatic impairment.</w:t>
      </w:r>
    </w:p>
    <w:p w14:paraId="1C353DDA"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Coronary insufficiency, heart rate problems, hyperthyroidism</w:t>
      </w:r>
    </w:p>
    <w:p w14:paraId="1C353DD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Caution should be exercised in prescribing Clidinium bromide to these patients.</w:t>
      </w:r>
    </w:p>
    <w:p w14:paraId="1C353DDC" w14:textId="77777777" w:rsidR="00C64539" w:rsidRDefault="006F58E8">
      <w:pPr>
        <w:autoSpaceDE w:val="0"/>
        <w:autoSpaceDN w:val="0"/>
        <w:adjustRightInd w:val="0"/>
        <w:spacing w:after="0" w:line="240" w:lineRule="auto"/>
        <w:jc w:val="both"/>
        <w:rPr>
          <w:rFonts w:ascii="Times New Roman" w:eastAsia="TT3Do00" w:hAnsi="Times New Roman" w:cs="Times New Roman"/>
          <w:b/>
          <w:sz w:val="24"/>
          <w:szCs w:val="24"/>
        </w:rPr>
      </w:pPr>
      <w:r>
        <w:rPr>
          <w:rFonts w:ascii="Times New Roman" w:eastAsia="TT3Do00" w:hAnsi="Times New Roman" w:cs="Times New Roman"/>
          <w:b/>
          <w:sz w:val="24"/>
          <w:szCs w:val="24"/>
        </w:rPr>
        <w:t>Carcinogenesis, Mutagenesis and effect of fertility</w:t>
      </w:r>
    </w:p>
    <w:p w14:paraId="1C353DDD" w14:textId="77777777" w:rsidR="00C64539" w:rsidRDefault="006F58E8">
      <w:pPr>
        <w:autoSpaceDE w:val="0"/>
        <w:autoSpaceDN w:val="0"/>
        <w:adjustRightInd w:val="0"/>
        <w:spacing w:after="0" w:line="240" w:lineRule="auto"/>
        <w:jc w:val="both"/>
        <w:rPr>
          <w:rFonts w:ascii="Times New Roman" w:eastAsia="TT3Do00" w:hAnsi="Times New Roman" w:cs="Times New Roman"/>
          <w:sz w:val="24"/>
          <w:szCs w:val="24"/>
        </w:rPr>
      </w:pPr>
      <w:r>
        <w:rPr>
          <w:rFonts w:ascii="Times New Roman" w:eastAsia="TT3Do00" w:hAnsi="Times New Roman" w:cs="Times New Roman"/>
          <w:sz w:val="24"/>
          <w:szCs w:val="24"/>
        </w:rPr>
        <w:t>In in-vivo and in-vitro studies with chlordiazepoxide indicate a mutagenic effect. In carcinogenicity studies in mice an increase of liver tumor was seen at high doses, especially in males, whereas no increase of tumor incidence was seen in rats.</w:t>
      </w:r>
    </w:p>
    <w:p w14:paraId="1C353DDE"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T3Do00" w:hAnsi="Times New Roman" w:cs="Times New Roman"/>
          <w:sz w:val="24"/>
          <w:szCs w:val="24"/>
        </w:rPr>
        <w:t>No clear evidence of a teratogenic effect of chlordiazepoxide have been seen in studies in humans.</w:t>
      </w:r>
    </w:p>
    <w:p w14:paraId="1C353DDF"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Pediatric population.</w:t>
      </w:r>
    </w:p>
    <w:p w14:paraId="1C353DE0" w14:textId="77777777" w:rsidR="00C64539" w:rsidRDefault="006F58E8">
      <w:pPr>
        <w:pStyle w:val="CommentText"/>
        <w:spacing w:after="0"/>
        <w:jc w:val="both"/>
        <w:rPr>
          <w:rFonts w:ascii="Times New Roman" w:hAnsi="Times New Roman" w:cs="Times New Roman"/>
          <w:sz w:val="24"/>
          <w:szCs w:val="24"/>
        </w:rPr>
      </w:pPr>
      <w:r>
        <w:rPr>
          <w:rFonts w:ascii="Times New Roman" w:hAnsi="Times New Roman" w:cs="Times New Roman"/>
          <w:sz w:val="24"/>
          <w:szCs w:val="24"/>
        </w:rPr>
        <w:t>The product is not recommended in children</w:t>
      </w:r>
    </w:p>
    <w:p w14:paraId="1C353DE1"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Elderly </w:t>
      </w:r>
    </w:p>
    <w:p w14:paraId="1C353DE2"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Elderly patients may be more prone to experience drowsiness, ataxia and confusion if receiving Librax (chlordiazepoxide and clidinium) . These effects can usually be avoided with the correct dosage adjustment. But a point to note is that, these adverse reactions have occasionally been observed even at the lower dosage ranges. Hence dosing in geriatric subjects must be initiated cautiously (no more than 2 tablets per day) and can be increased gradually if needed and tolerated.</w:t>
      </w:r>
    </w:p>
    <w:p w14:paraId="1C353DE3" w14:textId="77777777" w:rsidR="00C64539" w:rsidRDefault="00C64539">
      <w:pPr>
        <w:autoSpaceDE w:val="0"/>
        <w:autoSpaceDN w:val="0"/>
        <w:adjustRightInd w:val="0"/>
        <w:spacing w:after="0" w:line="240" w:lineRule="auto"/>
        <w:jc w:val="both"/>
        <w:rPr>
          <w:rFonts w:ascii="Times New Roman" w:hAnsi="Times New Roman" w:cs="Times New Roman"/>
          <w:b/>
          <w:sz w:val="24"/>
          <w:szCs w:val="24"/>
        </w:rPr>
      </w:pPr>
    </w:p>
    <w:p w14:paraId="1C353DE4"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4.5 DRUG INTERACTIONS</w:t>
      </w:r>
    </w:p>
    <w:tbl>
      <w:tblPr>
        <w:tblStyle w:val="TableGrid"/>
        <w:tblW w:w="0" w:type="auto"/>
        <w:tblLook w:val="04A0" w:firstRow="1" w:lastRow="0" w:firstColumn="1" w:lastColumn="0" w:noHBand="0" w:noVBand="1"/>
      </w:tblPr>
      <w:tblGrid>
        <w:gridCol w:w="570"/>
        <w:gridCol w:w="2647"/>
        <w:gridCol w:w="3234"/>
        <w:gridCol w:w="2565"/>
      </w:tblGrid>
      <w:tr w:rsidR="00C64539" w14:paraId="1C353DE9" w14:textId="77777777">
        <w:tc>
          <w:tcPr>
            <w:tcW w:w="558" w:type="dxa"/>
          </w:tcPr>
          <w:p w14:paraId="1C353DE5"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No.</w:t>
            </w:r>
          </w:p>
        </w:tc>
        <w:tc>
          <w:tcPr>
            <w:tcW w:w="2700" w:type="dxa"/>
          </w:tcPr>
          <w:p w14:paraId="1C353DE6"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Drug</w:t>
            </w:r>
          </w:p>
        </w:tc>
        <w:tc>
          <w:tcPr>
            <w:tcW w:w="3330" w:type="dxa"/>
          </w:tcPr>
          <w:p w14:paraId="1C353DE7"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Drug Interactions</w:t>
            </w:r>
          </w:p>
        </w:tc>
        <w:tc>
          <w:tcPr>
            <w:tcW w:w="2654" w:type="dxa"/>
          </w:tcPr>
          <w:p w14:paraId="1C353DE8"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Remarks</w:t>
            </w:r>
          </w:p>
        </w:tc>
      </w:tr>
      <w:tr w:rsidR="00C64539" w14:paraId="1C353DEF" w14:textId="77777777">
        <w:tc>
          <w:tcPr>
            <w:tcW w:w="558" w:type="dxa"/>
          </w:tcPr>
          <w:p w14:paraId="1C353DEA"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DEB" w14:textId="77777777" w:rsidR="00C64539" w:rsidRDefault="006F58E8">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Centrally-acting drugs such as neuroleptics, tranquilisers, antidepressants, hypnotics, analgesics, anaesthetics, </w:t>
            </w:r>
            <w:r>
              <w:rPr>
                <w:rFonts w:ascii="Times New Roman" w:hAnsi="Times New Roman" w:cs="Times New Roman"/>
                <w:sz w:val="24"/>
                <w:szCs w:val="24"/>
              </w:rPr>
              <w:lastRenderedPageBreak/>
              <w:t>antitussives, sedative anti-histamines, central antihypertensives, and baclofen</w:t>
            </w:r>
          </w:p>
        </w:tc>
        <w:tc>
          <w:tcPr>
            <w:tcW w:w="3330" w:type="dxa"/>
          </w:tcPr>
          <w:p w14:paraId="1C353DE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If Chlordiazepoxide is combined with centrally-acting drugs, the central depressive effects are likely to be intensified. </w:t>
            </w:r>
          </w:p>
          <w:p w14:paraId="1C353DED" w14:textId="202983B9"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case of narcotic analgesics with </w:t>
            </w:r>
            <w:r w:rsidR="001F78F1">
              <w:rPr>
                <w:rFonts w:ascii="Times New Roman" w:hAnsi="Times New Roman" w:cs="Times New Roman"/>
                <w:sz w:val="24"/>
                <w:szCs w:val="24"/>
              </w:rPr>
              <w:t>Chlordiazepoxide</w:t>
            </w:r>
            <w:r>
              <w:rPr>
                <w:rFonts w:ascii="Times New Roman" w:hAnsi="Times New Roman" w:cs="Times New Roman"/>
                <w:sz w:val="24"/>
                <w:szCs w:val="24"/>
              </w:rPr>
              <w:t xml:space="preserve">, enhancement of the euphoria may also occur leading to an increase in psychic dependence. </w:t>
            </w:r>
          </w:p>
        </w:tc>
        <w:tc>
          <w:tcPr>
            <w:tcW w:w="2654" w:type="dxa"/>
          </w:tcPr>
          <w:p w14:paraId="1C353DEE" w14:textId="77777777" w:rsidR="00C64539" w:rsidRDefault="00C64539">
            <w:pPr>
              <w:spacing w:after="0" w:line="240" w:lineRule="auto"/>
              <w:jc w:val="both"/>
              <w:rPr>
                <w:rFonts w:ascii="Times New Roman" w:hAnsi="Times New Roman" w:cs="Times New Roman"/>
                <w:b/>
                <w:bCs/>
                <w:sz w:val="24"/>
                <w:szCs w:val="24"/>
              </w:rPr>
            </w:pPr>
          </w:p>
        </w:tc>
      </w:tr>
      <w:tr w:rsidR="00C64539" w14:paraId="1C353DF4" w14:textId="77777777">
        <w:tc>
          <w:tcPr>
            <w:tcW w:w="558" w:type="dxa"/>
          </w:tcPr>
          <w:p w14:paraId="1C353DF0"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DF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Barbiturates </w:t>
            </w:r>
          </w:p>
        </w:tc>
        <w:tc>
          <w:tcPr>
            <w:tcW w:w="3330" w:type="dxa"/>
          </w:tcPr>
          <w:p w14:paraId="1C353DF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Concomitant use of barbiturates and chlordiazepoxide leads to increased risk of respiratory depression, which may be fatal in the event of overdose. </w:t>
            </w:r>
          </w:p>
        </w:tc>
        <w:tc>
          <w:tcPr>
            <w:tcW w:w="2654" w:type="dxa"/>
          </w:tcPr>
          <w:p w14:paraId="1C353DF3" w14:textId="77777777" w:rsidR="00C64539" w:rsidRDefault="00C64539">
            <w:pPr>
              <w:keepNext/>
              <w:keepLines/>
              <w:spacing w:before="200" w:after="0" w:line="240" w:lineRule="auto"/>
              <w:jc w:val="both"/>
              <w:outlineLvl w:val="2"/>
              <w:rPr>
                <w:rFonts w:ascii="Times New Roman" w:hAnsi="Times New Roman" w:cs="Times New Roman"/>
                <w:b/>
                <w:bCs/>
                <w:sz w:val="24"/>
                <w:szCs w:val="24"/>
              </w:rPr>
            </w:pPr>
          </w:p>
        </w:tc>
      </w:tr>
      <w:tr w:rsidR="00C64539" w14:paraId="1C353DFA" w14:textId="77777777">
        <w:tc>
          <w:tcPr>
            <w:tcW w:w="558" w:type="dxa"/>
          </w:tcPr>
          <w:p w14:paraId="1C353DF5"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DF6"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Buprenorphine </w:t>
            </w:r>
          </w:p>
          <w:p w14:paraId="1C353DF7" w14:textId="77777777" w:rsidR="00C64539" w:rsidRDefault="00C64539">
            <w:pPr>
              <w:keepNext/>
              <w:keepLines/>
              <w:spacing w:before="200" w:after="0" w:line="240" w:lineRule="auto"/>
              <w:jc w:val="both"/>
              <w:outlineLvl w:val="2"/>
              <w:rPr>
                <w:rFonts w:ascii="Times New Roman" w:hAnsi="Times New Roman" w:cs="Times New Roman"/>
                <w:bCs/>
                <w:sz w:val="24"/>
                <w:szCs w:val="24"/>
              </w:rPr>
            </w:pPr>
          </w:p>
        </w:tc>
        <w:tc>
          <w:tcPr>
            <w:tcW w:w="3330" w:type="dxa"/>
          </w:tcPr>
          <w:p w14:paraId="1C353DF8"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Concomitant use of buprenorphine with Chlordiazepoxide leads to increased risk of respiratory depression which may be fatal. </w:t>
            </w:r>
          </w:p>
        </w:tc>
        <w:tc>
          <w:tcPr>
            <w:tcW w:w="2654" w:type="dxa"/>
          </w:tcPr>
          <w:p w14:paraId="1C353DF9"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Risk-benefit ratio of this combination should be evaluated carefully.</w:t>
            </w:r>
          </w:p>
        </w:tc>
      </w:tr>
      <w:tr w:rsidR="00C64539" w14:paraId="1C353E00" w14:textId="77777777">
        <w:tc>
          <w:tcPr>
            <w:tcW w:w="558" w:type="dxa"/>
          </w:tcPr>
          <w:p w14:paraId="1C353DFB"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DF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Cimetidine </w:t>
            </w:r>
          </w:p>
          <w:p w14:paraId="1C353DFD" w14:textId="77777777" w:rsidR="00C64539" w:rsidRDefault="00C64539">
            <w:pPr>
              <w:keepNext/>
              <w:keepLines/>
              <w:spacing w:before="200" w:after="0" w:line="240" w:lineRule="auto"/>
              <w:jc w:val="both"/>
              <w:outlineLvl w:val="2"/>
              <w:rPr>
                <w:rFonts w:ascii="Times New Roman" w:hAnsi="Times New Roman" w:cs="Times New Roman"/>
                <w:sz w:val="24"/>
                <w:szCs w:val="24"/>
              </w:rPr>
            </w:pPr>
          </w:p>
        </w:tc>
        <w:tc>
          <w:tcPr>
            <w:tcW w:w="3330" w:type="dxa"/>
          </w:tcPr>
          <w:p w14:paraId="1C353DFE"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Increased risk of drowsiness when chlordiazepoxide and cimetidine are co-administered. </w:t>
            </w:r>
          </w:p>
        </w:tc>
        <w:tc>
          <w:tcPr>
            <w:tcW w:w="2654" w:type="dxa"/>
          </w:tcPr>
          <w:p w14:paraId="1C353DFF"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Patients should be warned about the increased risk of drowsiness and the attendant difficulty in driving and using machinery and the subsequent risks involved </w:t>
            </w:r>
          </w:p>
        </w:tc>
      </w:tr>
      <w:tr w:rsidR="00C64539" w14:paraId="1C353E05" w14:textId="77777777">
        <w:tc>
          <w:tcPr>
            <w:tcW w:w="558" w:type="dxa"/>
          </w:tcPr>
          <w:p w14:paraId="1C353E01"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E0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Products derived from morphine </w:t>
            </w:r>
          </w:p>
        </w:tc>
        <w:tc>
          <w:tcPr>
            <w:tcW w:w="3330" w:type="dxa"/>
          </w:tcPr>
          <w:p w14:paraId="1C353E03"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Increased risk of respiratory depression, when co-administered with chlordiazepoxide, which may be fatal in the event of overdose. </w:t>
            </w:r>
          </w:p>
        </w:tc>
        <w:tc>
          <w:tcPr>
            <w:tcW w:w="2654" w:type="dxa"/>
          </w:tcPr>
          <w:p w14:paraId="1C353E04" w14:textId="77777777" w:rsidR="00C64539" w:rsidRDefault="00C64539">
            <w:pPr>
              <w:keepNext/>
              <w:keepLines/>
              <w:spacing w:before="200" w:after="0" w:line="240" w:lineRule="auto"/>
              <w:jc w:val="both"/>
              <w:outlineLvl w:val="2"/>
              <w:rPr>
                <w:rFonts w:ascii="Times New Roman" w:hAnsi="Times New Roman" w:cs="Times New Roman"/>
                <w:b/>
                <w:bCs/>
                <w:sz w:val="24"/>
                <w:szCs w:val="24"/>
              </w:rPr>
            </w:pPr>
          </w:p>
        </w:tc>
      </w:tr>
      <w:tr w:rsidR="00C64539" w14:paraId="1C353E0B" w14:textId="77777777">
        <w:tc>
          <w:tcPr>
            <w:tcW w:w="558" w:type="dxa"/>
          </w:tcPr>
          <w:p w14:paraId="1C353E06"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E07"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Product which inhibit hepatic enzymes </w:t>
            </w:r>
          </w:p>
          <w:p w14:paraId="1C353E08" w14:textId="77777777" w:rsidR="00C64539" w:rsidRDefault="00C64539">
            <w:pPr>
              <w:keepNext/>
              <w:keepLines/>
              <w:spacing w:before="200" w:after="0" w:line="240" w:lineRule="auto"/>
              <w:jc w:val="both"/>
              <w:outlineLvl w:val="2"/>
              <w:rPr>
                <w:rFonts w:ascii="Times New Roman" w:hAnsi="Times New Roman" w:cs="Times New Roman"/>
                <w:bCs/>
                <w:sz w:val="24"/>
                <w:szCs w:val="24"/>
              </w:rPr>
            </w:pPr>
          </w:p>
        </w:tc>
        <w:tc>
          <w:tcPr>
            <w:tcW w:w="3330" w:type="dxa"/>
          </w:tcPr>
          <w:p w14:paraId="1C353E0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Compounds which inhibit certain hepatic enzymes (particularly cytochrome P450) may enhance the activity of benzodiazepines. </w:t>
            </w:r>
          </w:p>
        </w:tc>
        <w:tc>
          <w:tcPr>
            <w:tcW w:w="2654" w:type="dxa"/>
          </w:tcPr>
          <w:p w14:paraId="1C353E0A" w14:textId="77777777" w:rsidR="00C64539" w:rsidRDefault="00C64539">
            <w:pPr>
              <w:keepNext/>
              <w:keepLines/>
              <w:spacing w:before="200" w:after="0" w:line="240" w:lineRule="auto"/>
              <w:jc w:val="both"/>
              <w:outlineLvl w:val="2"/>
              <w:rPr>
                <w:rFonts w:ascii="Times New Roman" w:hAnsi="Times New Roman" w:cs="Times New Roman"/>
                <w:b/>
                <w:bCs/>
                <w:sz w:val="24"/>
                <w:szCs w:val="24"/>
              </w:rPr>
            </w:pPr>
          </w:p>
        </w:tc>
      </w:tr>
      <w:tr w:rsidR="00C64539" w14:paraId="1C353E10" w14:textId="77777777">
        <w:trPr>
          <w:trHeight w:val="221"/>
        </w:trPr>
        <w:tc>
          <w:tcPr>
            <w:tcW w:w="558" w:type="dxa"/>
          </w:tcPr>
          <w:p w14:paraId="1C353E0C" w14:textId="77777777" w:rsidR="00C64539" w:rsidRDefault="00C64539">
            <w:pPr>
              <w:pStyle w:val="ListParagraph"/>
              <w:numPr>
                <w:ilvl w:val="0"/>
                <w:numId w:val="4"/>
              </w:numPr>
              <w:spacing w:after="0" w:line="240" w:lineRule="auto"/>
              <w:jc w:val="both"/>
              <w:rPr>
                <w:rFonts w:ascii="Times New Roman" w:hAnsi="Times New Roman" w:cs="Times New Roman"/>
                <w:b/>
                <w:bCs/>
                <w:sz w:val="24"/>
                <w:szCs w:val="24"/>
              </w:rPr>
            </w:pPr>
          </w:p>
        </w:tc>
        <w:tc>
          <w:tcPr>
            <w:tcW w:w="2700" w:type="dxa"/>
          </w:tcPr>
          <w:p w14:paraId="1C353E0D" w14:textId="14BF8FEB"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Atropine-like substances, substances having anticholinergic action belonging to the following therapeutic groups: antidepressants, antihistamine (H1 antagonists), antiparkinsonian agents, anticholinergics, other atropinic antispasmodics, </w:t>
            </w:r>
            <w:r w:rsidR="00EB4758">
              <w:rPr>
                <w:rFonts w:ascii="Times New Roman" w:hAnsi="Times New Roman" w:cs="Times New Roman"/>
                <w:sz w:val="24"/>
                <w:szCs w:val="24"/>
              </w:rPr>
              <w:t>disopyramide</w:t>
            </w:r>
            <w:r>
              <w:rPr>
                <w:rFonts w:ascii="Times New Roman" w:hAnsi="Times New Roman" w:cs="Times New Roman"/>
                <w:sz w:val="24"/>
                <w:szCs w:val="24"/>
              </w:rPr>
              <w:t xml:space="preserve">, </w:t>
            </w:r>
            <w:r>
              <w:rPr>
                <w:rFonts w:ascii="Times New Roman" w:hAnsi="Times New Roman" w:cs="Times New Roman"/>
                <w:sz w:val="24"/>
                <w:szCs w:val="24"/>
              </w:rPr>
              <w:lastRenderedPageBreak/>
              <w:t>phenothiazine neuroleptics, clozapine and amantadine</w:t>
            </w:r>
          </w:p>
        </w:tc>
        <w:tc>
          <w:tcPr>
            <w:tcW w:w="3330" w:type="dxa"/>
          </w:tcPr>
          <w:p w14:paraId="1C353E0E"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Atropine-like substances  can increase the side effects  and aggravate urinary retention, glaucoma, constipation, dry mouth, etc. when given concomitantly along with Clidinium bromide</w:t>
            </w:r>
          </w:p>
        </w:tc>
        <w:tc>
          <w:tcPr>
            <w:tcW w:w="2654" w:type="dxa"/>
          </w:tcPr>
          <w:p w14:paraId="1C353E0F" w14:textId="77777777" w:rsidR="00C64539" w:rsidRDefault="00C64539">
            <w:pPr>
              <w:spacing w:after="0" w:line="240" w:lineRule="auto"/>
              <w:jc w:val="both"/>
              <w:rPr>
                <w:rFonts w:ascii="Times New Roman" w:hAnsi="Times New Roman" w:cs="Times New Roman"/>
                <w:b/>
                <w:bCs/>
                <w:sz w:val="24"/>
                <w:szCs w:val="24"/>
              </w:rPr>
            </w:pPr>
          </w:p>
        </w:tc>
      </w:tr>
    </w:tbl>
    <w:p w14:paraId="1C353E11" w14:textId="77777777" w:rsidR="00C64539" w:rsidRDefault="00C64539">
      <w:pPr>
        <w:spacing w:after="0" w:line="240" w:lineRule="auto"/>
        <w:jc w:val="both"/>
        <w:rPr>
          <w:rFonts w:ascii="Times New Roman" w:hAnsi="Times New Roman" w:cs="Times New Roman"/>
          <w:b/>
          <w:bCs/>
          <w:sz w:val="24"/>
          <w:szCs w:val="24"/>
        </w:rPr>
      </w:pPr>
    </w:p>
    <w:p w14:paraId="1C353E12" w14:textId="77777777" w:rsidR="00C64539" w:rsidRDefault="00C64539">
      <w:pPr>
        <w:spacing w:after="0" w:line="240" w:lineRule="auto"/>
        <w:jc w:val="both"/>
        <w:rPr>
          <w:rFonts w:ascii="Times New Roman" w:hAnsi="Times New Roman" w:cs="Times New Roman"/>
          <w:b/>
          <w:sz w:val="24"/>
          <w:szCs w:val="24"/>
        </w:rPr>
      </w:pPr>
    </w:p>
    <w:p w14:paraId="1C353E13"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4.6 USE IN SPECIAL POPULATION</w:t>
      </w:r>
    </w:p>
    <w:p w14:paraId="1C353E14"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Pregnancy</w:t>
      </w:r>
    </w:p>
    <w:p w14:paraId="1C353E15" w14:textId="77777777" w:rsidR="00C64539" w:rsidRDefault="006F58E8">
      <w:pPr>
        <w:autoSpaceDE w:val="0"/>
        <w:autoSpaceDN w:val="0"/>
        <w:adjustRightInd w:val="0"/>
        <w:spacing w:after="0" w:line="240" w:lineRule="auto"/>
        <w:jc w:val="both"/>
        <w:rPr>
          <w:rFonts w:ascii="Times New Roman" w:hAnsi="Times New Roman" w:cs="Times New Roman"/>
          <w:sz w:val="24"/>
          <w:szCs w:val="24"/>
        </w:rPr>
      </w:pPr>
      <w:r>
        <w:rPr>
          <w:rFonts w:ascii="Times New Roman" w:eastAsia="TT3Do00" w:hAnsi="Times New Roman" w:cs="Times New Roman"/>
          <w:sz w:val="24"/>
          <w:szCs w:val="24"/>
        </w:rPr>
        <w:t xml:space="preserve">Librax is contraindicated in pregnancy. </w:t>
      </w:r>
      <w:r>
        <w:rPr>
          <w:rFonts w:ascii="Times New Roman" w:hAnsi="Times New Roman" w:cs="Times New Roman"/>
          <w:sz w:val="24"/>
          <w:szCs w:val="24"/>
        </w:rPr>
        <w:t>An increased risk of congenital malformations has been reported with the use of minor tranquilizers such as chlordiazepoxide during the first trimester of pregnancy. Patients should be advised that if they become pregnant during therapy or intend to become pregnant they should communicate with their physicians about the desirability of discontinuing the drug. The possibility that a woman of childbearing potential might be pregnant at the time of initiation of therapy must be considered.</w:t>
      </w:r>
    </w:p>
    <w:p w14:paraId="1C353E16"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Breast-feeding</w:t>
      </w:r>
    </w:p>
    <w:p w14:paraId="1C353E17" w14:textId="77777777" w:rsidR="00C64539" w:rsidRDefault="006F58E8">
      <w:pPr>
        <w:autoSpaceDE w:val="0"/>
        <w:autoSpaceDN w:val="0"/>
        <w:adjustRightInd w:val="0"/>
        <w:spacing w:after="0" w:line="240" w:lineRule="auto"/>
        <w:jc w:val="both"/>
        <w:rPr>
          <w:rFonts w:ascii="Times New Roman" w:eastAsia="TT3Do00" w:hAnsi="Times New Roman" w:cs="Times New Roman"/>
          <w:sz w:val="24"/>
          <w:szCs w:val="24"/>
        </w:rPr>
      </w:pPr>
      <w:r>
        <w:rPr>
          <w:rFonts w:ascii="Times New Roman" w:eastAsia="TT3Do00" w:hAnsi="Times New Roman" w:cs="Times New Roman"/>
          <w:sz w:val="24"/>
          <w:szCs w:val="24"/>
        </w:rPr>
        <w:t>Both Clidinium and chlordiazepoxide can appear in the breast milk Clidinium may decrease milk secretion and it may also pass into milk. This can result in atropinic</w:t>
      </w:r>
    </w:p>
    <w:p w14:paraId="1C353E18" w14:textId="77777777" w:rsidR="00C64539" w:rsidRDefault="006F58E8">
      <w:pPr>
        <w:autoSpaceDE w:val="0"/>
        <w:autoSpaceDN w:val="0"/>
        <w:adjustRightInd w:val="0"/>
        <w:spacing w:after="0" w:line="240" w:lineRule="auto"/>
        <w:jc w:val="both"/>
        <w:rPr>
          <w:rFonts w:ascii="Times New Roman" w:hAnsi="Times New Roman" w:cs="Times New Roman"/>
          <w:sz w:val="24"/>
          <w:szCs w:val="24"/>
        </w:rPr>
      </w:pPr>
      <w:r>
        <w:rPr>
          <w:rFonts w:ascii="Times New Roman" w:eastAsia="TT3Do00" w:hAnsi="Times New Roman" w:cs="Times New Roman"/>
          <w:sz w:val="24"/>
          <w:szCs w:val="24"/>
        </w:rPr>
        <w:t>effects in the child. Therefore, the use of Librax is not recommended during breast feeding.</w:t>
      </w:r>
    </w:p>
    <w:p w14:paraId="1C353E19" w14:textId="77777777" w:rsidR="00C64539" w:rsidRDefault="00C64539">
      <w:pPr>
        <w:autoSpaceDE w:val="0"/>
        <w:autoSpaceDN w:val="0"/>
        <w:adjustRightInd w:val="0"/>
        <w:spacing w:after="0" w:line="240" w:lineRule="auto"/>
        <w:jc w:val="both"/>
        <w:rPr>
          <w:rFonts w:ascii="Times New Roman" w:hAnsi="Times New Roman" w:cs="Times New Roman"/>
          <w:b/>
          <w:sz w:val="24"/>
          <w:szCs w:val="24"/>
        </w:rPr>
      </w:pPr>
    </w:p>
    <w:p w14:paraId="1C353E1A" w14:textId="77777777" w:rsidR="00C64539" w:rsidRDefault="006F58E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4.7 EFFECTS ON ABILITY TO DRIVE AND USE MACHINES</w:t>
      </w:r>
    </w:p>
    <w:p w14:paraId="1C353E1B" w14:textId="77777777" w:rsidR="00C64539" w:rsidRDefault="006F58E8">
      <w:pPr>
        <w:autoSpaceDE w:val="0"/>
        <w:autoSpaceDN w:val="0"/>
        <w:adjustRightInd w:val="0"/>
        <w:spacing w:after="0" w:line="240" w:lineRule="auto"/>
        <w:jc w:val="both"/>
        <w:rPr>
          <w:rFonts w:ascii="Times New Roman" w:eastAsia="TT3Do00" w:hAnsi="Times New Roman" w:cs="Times New Roman"/>
          <w:sz w:val="24"/>
          <w:szCs w:val="24"/>
        </w:rPr>
      </w:pPr>
      <w:r>
        <w:rPr>
          <w:rFonts w:ascii="Times New Roman" w:eastAsia="TT3Do00" w:hAnsi="Times New Roman" w:cs="Times New Roman"/>
          <w:sz w:val="24"/>
          <w:szCs w:val="24"/>
        </w:rPr>
        <w:t xml:space="preserve">As there is risk of drowsiness, medication should not be used when driving or operating heavy machinery. </w:t>
      </w:r>
    </w:p>
    <w:p w14:paraId="1C353E1C" w14:textId="77777777" w:rsidR="00C64539" w:rsidRDefault="00C64539">
      <w:pPr>
        <w:autoSpaceDE w:val="0"/>
        <w:autoSpaceDN w:val="0"/>
        <w:adjustRightInd w:val="0"/>
        <w:spacing w:after="0" w:line="240" w:lineRule="auto"/>
        <w:jc w:val="both"/>
        <w:rPr>
          <w:rFonts w:ascii="Times New Roman" w:eastAsia="TT3Do00" w:hAnsi="Times New Roman" w:cs="Times New Roman"/>
          <w:sz w:val="24"/>
          <w:szCs w:val="24"/>
        </w:rPr>
      </w:pPr>
    </w:p>
    <w:p w14:paraId="1C353E1D"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4.8 UNDESIRABLE EFFECTS</w:t>
      </w:r>
    </w:p>
    <w:p w14:paraId="1C353E1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Most common adverse effects include sedation, ataxia, fatigue, somnolence, dizziness, and balance disorder. The elderly are particularly sensitive to the effects of centrally-depressant drugs and may experience confusion.</w:t>
      </w:r>
    </w:p>
    <w:p w14:paraId="1C353E1F" w14:textId="77777777" w:rsidR="00C64539" w:rsidRDefault="00C64539">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94"/>
        <w:gridCol w:w="5222"/>
      </w:tblGrid>
      <w:tr w:rsidR="00C64539" w14:paraId="1C353E22" w14:textId="77777777">
        <w:tc>
          <w:tcPr>
            <w:tcW w:w="3794" w:type="dxa"/>
          </w:tcPr>
          <w:p w14:paraId="1C353E20"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Organ Class</w:t>
            </w:r>
          </w:p>
        </w:tc>
        <w:tc>
          <w:tcPr>
            <w:tcW w:w="5222" w:type="dxa"/>
          </w:tcPr>
          <w:p w14:paraId="1C353E21"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Effect</w:t>
            </w:r>
          </w:p>
        </w:tc>
      </w:tr>
      <w:tr w:rsidR="00C64539" w14:paraId="1C353E25" w14:textId="77777777">
        <w:tc>
          <w:tcPr>
            <w:tcW w:w="3794" w:type="dxa"/>
          </w:tcPr>
          <w:p w14:paraId="1C353E23"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General disorders and administration site conditions </w:t>
            </w:r>
          </w:p>
        </w:tc>
        <w:tc>
          <w:tcPr>
            <w:tcW w:w="5222" w:type="dxa"/>
          </w:tcPr>
          <w:p w14:paraId="1C353E2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Dry mouth, fatigue</w:t>
            </w:r>
          </w:p>
        </w:tc>
      </w:tr>
      <w:tr w:rsidR="00C64539" w14:paraId="1C353E28" w14:textId="77777777">
        <w:tc>
          <w:tcPr>
            <w:tcW w:w="3794" w:type="dxa"/>
          </w:tcPr>
          <w:p w14:paraId="1C353E26"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Blood and lymphatic system </w:t>
            </w:r>
          </w:p>
        </w:tc>
        <w:tc>
          <w:tcPr>
            <w:tcW w:w="5222" w:type="dxa"/>
          </w:tcPr>
          <w:p w14:paraId="1C353E27"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Bone marrow depression (e.g. pancytopenia leucopenia, thrombocytopenia, agranulocytosis, acute thrombocytopenic purpura)</w:t>
            </w:r>
          </w:p>
        </w:tc>
      </w:tr>
      <w:tr w:rsidR="00C64539" w14:paraId="1C353E2B" w14:textId="77777777">
        <w:tc>
          <w:tcPr>
            <w:tcW w:w="3794" w:type="dxa"/>
          </w:tcPr>
          <w:p w14:paraId="1C353E29"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Psychiatric disorders</w:t>
            </w:r>
          </w:p>
        </w:tc>
        <w:tc>
          <w:tcPr>
            <w:tcW w:w="5222" w:type="dxa"/>
          </w:tcPr>
          <w:p w14:paraId="1C353E2A"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Depression, restlessness, agitation, irritability, paradoxical drug reaction (e.g. anxiety, sleep disorders, insomnia, suicide attempt, suicidal ideation), amnesia, emotional disturbances, depressed level of consciousness, aggression, delusion, dependence, hallucinations, nightmares, psychotic disorder, abnormal behaviour,</w:t>
            </w:r>
          </w:p>
        </w:tc>
      </w:tr>
      <w:tr w:rsidR="00C64539" w14:paraId="1C353E2E" w14:textId="77777777">
        <w:tc>
          <w:tcPr>
            <w:tcW w:w="3794" w:type="dxa"/>
          </w:tcPr>
          <w:p w14:paraId="1C353E2C"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Nervous system disorders</w:t>
            </w:r>
          </w:p>
        </w:tc>
        <w:tc>
          <w:tcPr>
            <w:tcW w:w="5222" w:type="dxa"/>
          </w:tcPr>
          <w:p w14:paraId="1C353E2D"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Confusional state, vertigo, dizziness, dysarthria, sedation, headache, extrapyramidal disorder (e.g tremor, dyskinesia), somnolence, gait disturbance, ataxia, balance disorder,</w:t>
            </w:r>
          </w:p>
        </w:tc>
      </w:tr>
      <w:tr w:rsidR="00C64539" w14:paraId="1C353E31" w14:textId="77777777">
        <w:tc>
          <w:tcPr>
            <w:tcW w:w="3794" w:type="dxa"/>
          </w:tcPr>
          <w:p w14:paraId="1C353E2F"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Immune system disorders </w:t>
            </w:r>
          </w:p>
        </w:tc>
        <w:tc>
          <w:tcPr>
            <w:tcW w:w="5222" w:type="dxa"/>
          </w:tcPr>
          <w:p w14:paraId="1C353E30"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Hypersensitivity</w:t>
            </w:r>
          </w:p>
        </w:tc>
      </w:tr>
      <w:tr w:rsidR="00C64539" w14:paraId="1C353E34" w14:textId="77777777">
        <w:tc>
          <w:tcPr>
            <w:tcW w:w="3794" w:type="dxa"/>
          </w:tcPr>
          <w:p w14:paraId="1C353E32"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Cardiac disorders</w:t>
            </w:r>
          </w:p>
        </w:tc>
        <w:tc>
          <w:tcPr>
            <w:tcW w:w="5222" w:type="dxa"/>
          </w:tcPr>
          <w:p w14:paraId="1C353E33"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Palpitations, tachycardia</w:t>
            </w:r>
          </w:p>
        </w:tc>
      </w:tr>
      <w:tr w:rsidR="00C64539" w14:paraId="1C353E37" w14:textId="77777777">
        <w:tc>
          <w:tcPr>
            <w:tcW w:w="3794" w:type="dxa"/>
          </w:tcPr>
          <w:p w14:paraId="1C353E3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Vascular disorders </w:t>
            </w:r>
          </w:p>
        </w:tc>
        <w:tc>
          <w:tcPr>
            <w:tcW w:w="5222" w:type="dxa"/>
          </w:tcPr>
          <w:p w14:paraId="1C353E36"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Hypotension </w:t>
            </w:r>
          </w:p>
        </w:tc>
      </w:tr>
      <w:tr w:rsidR="00C64539" w14:paraId="1C353E3A" w14:textId="77777777">
        <w:tc>
          <w:tcPr>
            <w:tcW w:w="3794" w:type="dxa"/>
          </w:tcPr>
          <w:p w14:paraId="1C353E38"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Respiratory, thoracic and mediastinal disorders </w:t>
            </w:r>
          </w:p>
        </w:tc>
        <w:tc>
          <w:tcPr>
            <w:tcW w:w="5222" w:type="dxa"/>
          </w:tcPr>
          <w:p w14:paraId="1C353E3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Increased viscosity of bronchial secretion, respiratory depression</w:t>
            </w:r>
          </w:p>
        </w:tc>
      </w:tr>
      <w:tr w:rsidR="00C64539" w14:paraId="1C353E3D" w14:textId="77777777">
        <w:tc>
          <w:tcPr>
            <w:tcW w:w="3794" w:type="dxa"/>
          </w:tcPr>
          <w:p w14:paraId="1C353E3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Gastrointestinal disorders </w:t>
            </w:r>
          </w:p>
        </w:tc>
        <w:tc>
          <w:tcPr>
            <w:tcW w:w="5222" w:type="dxa"/>
          </w:tcPr>
          <w:p w14:paraId="1C353E3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Constipation</w:t>
            </w:r>
          </w:p>
        </w:tc>
      </w:tr>
      <w:tr w:rsidR="00C64539" w14:paraId="1C353E40" w14:textId="77777777">
        <w:tc>
          <w:tcPr>
            <w:tcW w:w="3794" w:type="dxa"/>
          </w:tcPr>
          <w:p w14:paraId="1C353E3E"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Metabolism and nutrition disorders</w:t>
            </w:r>
          </w:p>
        </w:tc>
        <w:tc>
          <w:tcPr>
            <w:tcW w:w="5222" w:type="dxa"/>
          </w:tcPr>
          <w:p w14:paraId="1C353E3F"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Increased appetite</w:t>
            </w:r>
          </w:p>
        </w:tc>
      </w:tr>
      <w:tr w:rsidR="00C64539" w14:paraId="1C353E43" w14:textId="77777777">
        <w:tc>
          <w:tcPr>
            <w:tcW w:w="3794" w:type="dxa"/>
          </w:tcPr>
          <w:p w14:paraId="1C353E4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Hepato-biliary disorders </w:t>
            </w:r>
          </w:p>
        </w:tc>
        <w:tc>
          <w:tcPr>
            <w:tcW w:w="5222" w:type="dxa"/>
          </w:tcPr>
          <w:p w14:paraId="1C353E4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Raised bilirubin, alkaline phosphatise and transaminases, jaundice </w:t>
            </w:r>
          </w:p>
        </w:tc>
      </w:tr>
      <w:tr w:rsidR="00C64539" w14:paraId="1C353E46" w14:textId="77777777">
        <w:tc>
          <w:tcPr>
            <w:tcW w:w="3794" w:type="dxa"/>
          </w:tcPr>
          <w:p w14:paraId="1C353E4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Skin and subcutaneous tissues disorders</w:t>
            </w:r>
          </w:p>
        </w:tc>
        <w:tc>
          <w:tcPr>
            <w:tcW w:w="5222" w:type="dxa"/>
          </w:tcPr>
          <w:p w14:paraId="1C353E4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Skin reaction</w:t>
            </w:r>
          </w:p>
        </w:tc>
      </w:tr>
      <w:tr w:rsidR="00C64539" w14:paraId="1C353E49" w14:textId="77777777">
        <w:tc>
          <w:tcPr>
            <w:tcW w:w="3794" w:type="dxa"/>
          </w:tcPr>
          <w:p w14:paraId="1C353E47"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Eye disorders</w:t>
            </w:r>
          </w:p>
        </w:tc>
        <w:tc>
          <w:tcPr>
            <w:tcW w:w="5222" w:type="dxa"/>
          </w:tcPr>
          <w:p w14:paraId="1C353E48"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Diplopia, decreased lacrimation, visual impairment accommodation disorders</w:t>
            </w:r>
          </w:p>
        </w:tc>
      </w:tr>
      <w:tr w:rsidR="00C64539" w14:paraId="1C353E4C" w14:textId="77777777">
        <w:tc>
          <w:tcPr>
            <w:tcW w:w="3794" w:type="dxa"/>
          </w:tcPr>
          <w:p w14:paraId="1C353E4A"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Musculoskeletal, connective tissue disorders </w:t>
            </w:r>
          </w:p>
        </w:tc>
        <w:tc>
          <w:tcPr>
            <w:tcW w:w="5222" w:type="dxa"/>
          </w:tcPr>
          <w:p w14:paraId="1C353E4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Asthenia, muscular weakness</w:t>
            </w:r>
          </w:p>
        </w:tc>
      </w:tr>
      <w:tr w:rsidR="00C64539" w14:paraId="1C353E4F" w14:textId="77777777">
        <w:tc>
          <w:tcPr>
            <w:tcW w:w="3794" w:type="dxa"/>
          </w:tcPr>
          <w:p w14:paraId="1C353E4D"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Renal and urinary disorders </w:t>
            </w:r>
          </w:p>
        </w:tc>
        <w:tc>
          <w:tcPr>
            <w:tcW w:w="5222" w:type="dxa"/>
          </w:tcPr>
          <w:p w14:paraId="1C353E4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urinary retention </w:t>
            </w:r>
          </w:p>
        </w:tc>
      </w:tr>
      <w:tr w:rsidR="00C64539" w14:paraId="1C353E52" w14:textId="77777777">
        <w:tc>
          <w:tcPr>
            <w:tcW w:w="3794" w:type="dxa"/>
          </w:tcPr>
          <w:p w14:paraId="1C353E50"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Reproductive system and breast disorders </w:t>
            </w:r>
          </w:p>
        </w:tc>
        <w:tc>
          <w:tcPr>
            <w:tcW w:w="5222" w:type="dxa"/>
          </w:tcPr>
          <w:p w14:paraId="1C353E5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Menstrual disorder, erectile dysfunction, dysmenorrhoea, libido disorder</w:t>
            </w:r>
          </w:p>
        </w:tc>
      </w:tr>
    </w:tbl>
    <w:p w14:paraId="1C353E53" w14:textId="77777777" w:rsidR="00C64539" w:rsidRDefault="00C64539">
      <w:pPr>
        <w:spacing w:after="0" w:line="240" w:lineRule="auto"/>
        <w:jc w:val="both"/>
        <w:rPr>
          <w:rFonts w:ascii="Times New Roman" w:hAnsi="Times New Roman" w:cs="Times New Roman"/>
          <w:b/>
          <w:sz w:val="24"/>
          <w:szCs w:val="24"/>
        </w:rPr>
      </w:pPr>
    </w:p>
    <w:p w14:paraId="1C353E54"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4.9 OVERDOSE</w:t>
      </w:r>
    </w:p>
    <w:p w14:paraId="1C353E55"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Associated with chlordiazepoxide</w:t>
      </w:r>
    </w:p>
    <w:p w14:paraId="1C353E56" w14:textId="77777777" w:rsidR="00C64539" w:rsidRDefault="006F58E8">
      <w:pPr>
        <w:spacing w:after="0" w:line="240" w:lineRule="auto"/>
        <w:jc w:val="both"/>
        <w:rPr>
          <w:rFonts w:ascii="Times New Roman" w:eastAsia="TT3Do00" w:hAnsi="Times New Roman" w:cs="Times New Roman"/>
          <w:sz w:val="24"/>
          <w:szCs w:val="24"/>
        </w:rPr>
      </w:pPr>
      <w:r>
        <w:rPr>
          <w:rFonts w:ascii="Times New Roman" w:eastAsia="TT3Do00" w:hAnsi="Times New Roman" w:cs="Times New Roman"/>
          <w:b/>
          <w:sz w:val="24"/>
          <w:szCs w:val="24"/>
        </w:rPr>
        <w:t xml:space="preserve">Symptoms: </w:t>
      </w:r>
      <w:r>
        <w:rPr>
          <w:rFonts w:ascii="Times New Roman" w:eastAsia="TT3Do00" w:hAnsi="Times New Roman" w:cs="Times New Roman"/>
          <w:sz w:val="24"/>
          <w:szCs w:val="24"/>
        </w:rPr>
        <w:t>Benzodiazepine overdosage can result in life threatening complications especially if the patient has taken other central nervous system depressants (including alcohol). The symptoms of overdose include drowsiness, mental confusion, drowsiness and lethargy. The more serious cases, symptoms may include hypotonia, ataxia, respiratory depression, rarely coma and very rarely death.</w:t>
      </w:r>
    </w:p>
    <w:p w14:paraId="1C353E57" w14:textId="77777777" w:rsidR="00C64539" w:rsidRDefault="006F58E8">
      <w:pPr>
        <w:spacing w:after="0" w:line="240" w:lineRule="auto"/>
        <w:jc w:val="both"/>
        <w:rPr>
          <w:rFonts w:ascii="Times New Roman" w:eastAsia="TT3Do00" w:hAnsi="Times New Roman" w:cs="Times New Roman"/>
          <w:sz w:val="24"/>
          <w:szCs w:val="24"/>
        </w:rPr>
      </w:pPr>
      <w:r>
        <w:rPr>
          <w:rFonts w:ascii="Times New Roman" w:hAnsi="Times New Roman" w:cs="Times New Roman"/>
          <w:b/>
          <w:sz w:val="24"/>
          <w:szCs w:val="24"/>
        </w:rPr>
        <w:t xml:space="preserve">Treatment: </w:t>
      </w:r>
      <w:r>
        <w:rPr>
          <w:rFonts w:ascii="Times New Roman" w:hAnsi="Times New Roman" w:cs="Times New Roman"/>
          <w:sz w:val="24"/>
          <w:szCs w:val="24"/>
        </w:rPr>
        <w:t>In the conscious patient</w:t>
      </w:r>
      <w:r>
        <w:rPr>
          <w:rFonts w:ascii="Times New Roman" w:hAnsi="Times New Roman" w:cs="Times New Roman"/>
          <w:b/>
          <w:sz w:val="24"/>
          <w:szCs w:val="24"/>
        </w:rPr>
        <w:t xml:space="preserve"> </w:t>
      </w:r>
      <w:r>
        <w:rPr>
          <w:rFonts w:ascii="Times New Roman" w:hAnsi="Times New Roman" w:cs="Times New Roman"/>
          <w:sz w:val="24"/>
          <w:szCs w:val="24"/>
        </w:rPr>
        <w:t>v</w:t>
      </w:r>
      <w:r>
        <w:rPr>
          <w:rFonts w:ascii="Times New Roman" w:eastAsia="TT3Do00" w:hAnsi="Times New Roman" w:cs="Times New Roman"/>
          <w:sz w:val="24"/>
          <w:szCs w:val="24"/>
        </w:rPr>
        <w:t xml:space="preserve">omiting should be induced within one hour or gastric lavage can be undertaken with the airway protected if the patient is unconscious. Activated charcoal can be administered to reduce absorption. Monitor respiratory and cardiovascular functions. Flumazenil is a Benzodiazepine antagonist which may be useful in the diagnosis and/or treatment of overdose with benzodiazepines. </w:t>
      </w:r>
    </w:p>
    <w:p w14:paraId="1C353E58" w14:textId="77777777" w:rsidR="00C64539" w:rsidRDefault="00C64539">
      <w:pPr>
        <w:spacing w:after="0" w:line="240" w:lineRule="auto"/>
        <w:jc w:val="both"/>
        <w:rPr>
          <w:rFonts w:ascii="Times New Roman" w:eastAsia="TT3Do00" w:hAnsi="Times New Roman" w:cs="Times New Roman"/>
          <w:sz w:val="24"/>
          <w:szCs w:val="24"/>
        </w:rPr>
      </w:pPr>
    </w:p>
    <w:p w14:paraId="1C353E59"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Associated with clidinium bromide</w:t>
      </w:r>
    </w:p>
    <w:p w14:paraId="1C353E5A" w14:textId="77777777" w:rsidR="00C64539" w:rsidRDefault="006F58E8">
      <w:pPr>
        <w:spacing w:after="0" w:line="240" w:lineRule="auto"/>
        <w:jc w:val="both"/>
        <w:rPr>
          <w:rFonts w:ascii="Times New Roman" w:eastAsia="TT3Do00" w:hAnsi="Times New Roman" w:cs="Times New Roman"/>
          <w:sz w:val="24"/>
          <w:szCs w:val="24"/>
        </w:rPr>
      </w:pPr>
      <w:r>
        <w:rPr>
          <w:rFonts w:ascii="Times New Roman" w:eastAsia="TT3Do00" w:hAnsi="Times New Roman" w:cs="Times New Roman"/>
          <w:b/>
          <w:sz w:val="24"/>
          <w:szCs w:val="24"/>
        </w:rPr>
        <w:t>Symptoms:</w:t>
      </w:r>
      <w:r>
        <w:rPr>
          <w:rFonts w:ascii="Times New Roman" w:eastAsia="TT3Do00" w:hAnsi="Times New Roman" w:cs="Times New Roman"/>
          <w:sz w:val="24"/>
          <w:szCs w:val="24"/>
        </w:rPr>
        <w:t xml:space="preserve"> Patients with overdose of Clidinium bromide may present with anticholinergic effects such as dry mouth, urinary retention, tachycardia, redness of the skin, reduced gastrointestinal motility, mild drowsiness and transient disturbances of vision (including mydriasis, accommodation paralysis). The more serious disturbances include circulatory and respiratory alterations, tachycardia, delirium. Arousal state, agitation, confusion and hallucination, respiratory depression and coma. </w:t>
      </w:r>
    </w:p>
    <w:p w14:paraId="1C353E5B" w14:textId="77777777" w:rsidR="00C64539" w:rsidRDefault="006F58E8">
      <w:pPr>
        <w:spacing w:after="0" w:line="240" w:lineRule="auto"/>
        <w:jc w:val="both"/>
        <w:rPr>
          <w:rFonts w:ascii="Times New Roman" w:eastAsia="TT3Do00" w:hAnsi="Times New Roman" w:cs="Times New Roman"/>
          <w:b/>
          <w:sz w:val="24"/>
          <w:szCs w:val="24"/>
        </w:rPr>
      </w:pPr>
      <w:r>
        <w:rPr>
          <w:rFonts w:ascii="Times New Roman" w:eastAsia="TT3Do00" w:hAnsi="Times New Roman" w:cs="Times New Roman"/>
          <w:b/>
          <w:sz w:val="24"/>
          <w:szCs w:val="24"/>
        </w:rPr>
        <w:t xml:space="preserve">Treatment: </w:t>
      </w:r>
      <w:r>
        <w:rPr>
          <w:rFonts w:ascii="Times New Roman" w:eastAsia="TT3Do00" w:hAnsi="Times New Roman" w:cs="Times New Roman"/>
          <w:sz w:val="24"/>
          <w:szCs w:val="24"/>
        </w:rPr>
        <w:t>Symptomatic with cardiac and respiratory monitoring in a hospital environment.</w:t>
      </w:r>
    </w:p>
    <w:p w14:paraId="1C353E5C" w14:textId="77777777" w:rsidR="00C64539" w:rsidRDefault="00C64539">
      <w:pPr>
        <w:spacing w:after="0" w:line="240" w:lineRule="auto"/>
        <w:jc w:val="both"/>
        <w:rPr>
          <w:rFonts w:ascii="Times New Roman" w:hAnsi="Times New Roman" w:cs="Times New Roman"/>
          <w:b/>
          <w:sz w:val="24"/>
          <w:szCs w:val="24"/>
        </w:rPr>
      </w:pPr>
    </w:p>
    <w:p w14:paraId="1C353E5D"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5.0 PHARMACOLOGICAL PROPERTIES</w:t>
      </w:r>
    </w:p>
    <w:p w14:paraId="1C353E5E"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5.1 Mechanism of action </w:t>
      </w:r>
    </w:p>
    <w:p w14:paraId="1C353E5F" w14:textId="77777777" w:rsidR="00C64539" w:rsidRDefault="006F58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Chlordiazepoxide is an anxiolytic belonging to the class of benzodiazepines.</w:t>
      </w:r>
    </w:p>
    <w:p w14:paraId="1C353E60" w14:textId="77777777" w:rsidR="00C64539" w:rsidRDefault="006F58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Pharmacologically its properties are those of the class of benzodiazepines: anxiolytic,</w:t>
      </w:r>
    </w:p>
    <w:p w14:paraId="1C353E61" w14:textId="77777777" w:rsidR="00C64539" w:rsidRDefault="006F58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sedative, hypnotic, anticonvulsant, myorelaxant and amnestic. These effects are associate with a specific agonist action on a central receptor forming part of the GABA-OMEGA macromolecular receptors complex (also known as BZ1 and BZ2) modulating the opening of the chlorine channel. Drug dependence may be observed in animals and in humans. Clidinium bromide is a synthetic anticholinergic that has a spasmolytic effect on smooth muscle and also inhibits secretions.</w:t>
      </w:r>
    </w:p>
    <w:p w14:paraId="1C353E62" w14:textId="77777777" w:rsidR="00C64539" w:rsidRDefault="00C64539">
      <w:pPr>
        <w:spacing w:after="0" w:line="240" w:lineRule="auto"/>
        <w:jc w:val="both"/>
        <w:rPr>
          <w:rFonts w:ascii="Times New Roman" w:hAnsi="Times New Roman" w:cs="Times New Roman"/>
          <w:bCs/>
          <w:sz w:val="24"/>
          <w:szCs w:val="24"/>
        </w:rPr>
      </w:pPr>
    </w:p>
    <w:p w14:paraId="1C353E63"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5.2 Pharmacodynamic Properties</w:t>
      </w:r>
    </w:p>
    <w:p w14:paraId="1C353E6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Chlordiazepoxide is Benzodiazepine class drug. Chlordiazepoxide has sedative, anxiolytic, hypnotic, myorelaxant, anticonvulsant, and amnestic properties. These effects are attributed to specific agonist action on a central receptor forming part of the GABA-OMEGA </w:t>
      </w:r>
      <w:r>
        <w:rPr>
          <w:rFonts w:ascii="Times New Roman" w:hAnsi="Times New Roman" w:cs="Times New Roman"/>
          <w:sz w:val="24"/>
          <w:szCs w:val="24"/>
        </w:rPr>
        <w:lastRenderedPageBreak/>
        <w:t xml:space="preserve">macromolecular receptors complex (also known as BZ1 and BZ2) which affects the opening of the chlorine channel. Dependence of drug is observed in humans. </w:t>
      </w:r>
    </w:p>
    <w:p w14:paraId="1C353E6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Clidinium bromide is a synthetic anticholinergic which has a spasmolytic effect on smooth muscle. It also inhibits various GI secretions.</w:t>
      </w:r>
    </w:p>
    <w:p w14:paraId="1C353E66" w14:textId="77777777" w:rsidR="00C64539" w:rsidRDefault="00C64539">
      <w:pPr>
        <w:spacing w:after="0" w:line="240" w:lineRule="auto"/>
        <w:jc w:val="both"/>
        <w:rPr>
          <w:rFonts w:ascii="Times New Roman" w:hAnsi="Times New Roman" w:cs="Times New Roman"/>
          <w:sz w:val="24"/>
          <w:szCs w:val="24"/>
        </w:rPr>
      </w:pPr>
    </w:p>
    <w:p w14:paraId="1C353E67"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5.3 Pharmacokinetic Properties</w:t>
      </w:r>
    </w:p>
    <w:tbl>
      <w:tblPr>
        <w:tblStyle w:val="TableGrid"/>
        <w:tblW w:w="0" w:type="auto"/>
        <w:tblLook w:val="04A0" w:firstRow="1" w:lastRow="0" w:firstColumn="1" w:lastColumn="0" w:noHBand="0" w:noVBand="1"/>
      </w:tblPr>
      <w:tblGrid>
        <w:gridCol w:w="1643"/>
        <w:gridCol w:w="3485"/>
        <w:gridCol w:w="3888"/>
      </w:tblGrid>
      <w:tr w:rsidR="00C64539" w14:paraId="1C353E6B" w14:textId="77777777">
        <w:tc>
          <w:tcPr>
            <w:tcW w:w="1643" w:type="dxa"/>
          </w:tcPr>
          <w:p w14:paraId="1C353E68"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Parameters</w:t>
            </w:r>
          </w:p>
        </w:tc>
        <w:tc>
          <w:tcPr>
            <w:tcW w:w="3595" w:type="dxa"/>
          </w:tcPr>
          <w:p w14:paraId="1C353E69"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Chlordiazepoxide</w:t>
            </w:r>
          </w:p>
        </w:tc>
        <w:tc>
          <w:tcPr>
            <w:tcW w:w="4004" w:type="dxa"/>
          </w:tcPr>
          <w:p w14:paraId="1C353E6A" w14:textId="77777777" w:rsidR="00C64539" w:rsidRDefault="006F58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Clidinium bromide </w:t>
            </w:r>
          </w:p>
        </w:tc>
      </w:tr>
      <w:tr w:rsidR="00C64539" w14:paraId="1C353E70" w14:textId="77777777">
        <w:tc>
          <w:tcPr>
            <w:tcW w:w="1643" w:type="dxa"/>
          </w:tcPr>
          <w:p w14:paraId="1C353E6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Absorption</w:t>
            </w:r>
          </w:p>
        </w:tc>
        <w:tc>
          <w:tcPr>
            <w:tcW w:w="3595" w:type="dxa"/>
          </w:tcPr>
          <w:p w14:paraId="1C353E6D"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Well absorbed, with peak blood levels being achieved one or two hours after administration.</w:t>
            </w:r>
          </w:p>
          <w:p w14:paraId="1C353E6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Steady-state levels are usually reached within three days.</w:t>
            </w:r>
          </w:p>
        </w:tc>
        <w:tc>
          <w:tcPr>
            <w:tcW w:w="4004" w:type="dxa"/>
          </w:tcPr>
          <w:p w14:paraId="1C353E6F"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Incompletely absorbed from the GI tract since it is completely ionized</w:t>
            </w:r>
          </w:p>
        </w:tc>
      </w:tr>
      <w:tr w:rsidR="00C64539" w14:paraId="1C353E74" w14:textId="77777777">
        <w:tc>
          <w:tcPr>
            <w:tcW w:w="1643" w:type="dxa"/>
          </w:tcPr>
          <w:p w14:paraId="1C353E71"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Bioavailability</w:t>
            </w:r>
          </w:p>
        </w:tc>
        <w:tc>
          <w:tcPr>
            <w:tcW w:w="3595" w:type="dxa"/>
          </w:tcPr>
          <w:p w14:paraId="1C353E7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Bioavailability after oral dose is close to 100%.</w:t>
            </w:r>
          </w:p>
        </w:tc>
        <w:tc>
          <w:tcPr>
            <w:tcW w:w="4004" w:type="dxa"/>
          </w:tcPr>
          <w:p w14:paraId="1C353E73" w14:textId="77777777" w:rsidR="00C64539" w:rsidRDefault="00C64539">
            <w:pPr>
              <w:pStyle w:val="NormalWeb"/>
              <w:shd w:val="clear" w:color="auto" w:fill="FFFFFF"/>
              <w:spacing w:after="0"/>
              <w:jc w:val="both"/>
              <w:rPr>
                <w:rFonts w:eastAsiaTheme="majorEastAsia"/>
                <w:b/>
                <w:bCs/>
              </w:rPr>
            </w:pPr>
          </w:p>
        </w:tc>
      </w:tr>
      <w:tr w:rsidR="00C64539" w14:paraId="1C353E78" w14:textId="77777777">
        <w:trPr>
          <w:trHeight w:val="1070"/>
        </w:trPr>
        <w:tc>
          <w:tcPr>
            <w:tcW w:w="1643" w:type="dxa"/>
          </w:tcPr>
          <w:p w14:paraId="1C353E7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Distribution</w:t>
            </w:r>
          </w:p>
        </w:tc>
        <w:tc>
          <w:tcPr>
            <w:tcW w:w="3595" w:type="dxa"/>
          </w:tcPr>
          <w:p w14:paraId="1C353E76"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Foeto-placental crossover and passing into the mother’s milk have been demonstrated for benzodiazepines. Steady-state levels of active metabolites are reached after 10-15 days, with metabolite concentrations which are similar to those of the parent drug. </w:t>
            </w:r>
          </w:p>
        </w:tc>
        <w:tc>
          <w:tcPr>
            <w:tcW w:w="4004" w:type="dxa"/>
          </w:tcPr>
          <w:p w14:paraId="1C353E77"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Does not readily penetrate the CNS or the eye. There is no data regarding the passage of clidinium bromide into the placenta or into milk</w:t>
            </w:r>
          </w:p>
        </w:tc>
      </w:tr>
      <w:tr w:rsidR="00C64539" w14:paraId="1C353E7D" w14:textId="77777777">
        <w:tc>
          <w:tcPr>
            <w:tcW w:w="1643" w:type="dxa"/>
          </w:tcPr>
          <w:p w14:paraId="1C353E7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Metabolism </w:t>
            </w:r>
          </w:p>
        </w:tc>
        <w:tc>
          <w:tcPr>
            <w:tcW w:w="3595" w:type="dxa"/>
          </w:tcPr>
          <w:p w14:paraId="1C353E7A"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Metabolised into desmethyl-chlordiazepoxide. Also metabolised to a much lesser extent to the active metabolite demoxapam. </w:t>
            </w:r>
          </w:p>
          <w:p w14:paraId="1C353E7B"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demoxepam is itself metabolised into an active metabolite, oxazepam, but in very small proportions </w:t>
            </w:r>
          </w:p>
        </w:tc>
        <w:tc>
          <w:tcPr>
            <w:tcW w:w="4004" w:type="dxa"/>
          </w:tcPr>
          <w:p w14:paraId="1C353E7C"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Metabolised into 3-hydroxy-1-methylquinuclidinium bromide, which is the principal form found in the urine of humans.</w:t>
            </w:r>
          </w:p>
        </w:tc>
      </w:tr>
      <w:tr w:rsidR="00C64539" w14:paraId="1C353E81" w14:textId="77777777">
        <w:tc>
          <w:tcPr>
            <w:tcW w:w="1643" w:type="dxa"/>
          </w:tcPr>
          <w:p w14:paraId="1C353E7E"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Excretion</w:t>
            </w:r>
          </w:p>
        </w:tc>
        <w:tc>
          <w:tcPr>
            <w:tcW w:w="3595" w:type="dxa"/>
          </w:tcPr>
          <w:p w14:paraId="1C353E7F"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Urinary elimination takes the form of demoxepam and oxazepam.</w:t>
            </w:r>
          </w:p>
        </w:tc>
        <w:tc>
          <w:tcPr>
            <w:tcW w:w="4004" w:type="dxa"/>
          </w:tcPr>
          <w:p w14:paraId="1C353E80"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Clidinium bromide and its metabolites are found in faeces.</w:t>
            </w:r>
          </w:p>
        </w:tc>
      </w:tr>
      <w:tr w:rsidR="00C64539" w14:paraId="1C353E86" w14:textId="77777777">
        <w:tc>
          <w:tcPr>
            <w:tcW w:w="1643" w:type="dxa"/>
          </w:tcPr>
          <w:p w14:paraId="1C353E82"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Half-life</w:t>
            </w:r>
          </w:p>
        </w:tc>
        <w:tc>
          <w:tcPr>
            <w:tcW w:w="3595" w:type="dxa"/>
          </w:tcPr>
          <w:p w14:paraId="1C353E83"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Chlordiazepoxide half-life is 6-30 hours.</w:t>
            </w:r>
          </w:p>
          <w:p w14:paraId="1C353E8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Demoxepam and oxazepam half-life is 20 to 24 hours.</w:t>
            </w:r>
          </w:p>
        </w:tc>
        <w:tc>
          <w:tcPr>
            <w:tcW w:w="4004" w:type="dxa"/>
          </w:tcPr>
          <w:p w14:paraId="1C353E85" w14:textId="77777777" w:rsidR="00C64539" w:rsidRDefault="006F58E8">
            <w:pPr>
              <w:keepNext/>
              <w:keepLines/>
              <w:spacing w:before="200" w:after="0" w:line="240" w:lineRule="auto"/>
              <w:jc w:val="both"/>
              <w:outlineLvl w:val="2"/>
              <w:rPr>
                <w:rFonts w:ascii="Times New Roman" w:eastAsiaTheme="majorEastAsia" w:hAnsi="Times New Roman" w:cs="Times New Roman"/>
                <w:b/>
                <w:bCs/>
                <w:sz w:val="24"/>
                <w:szCs w:val="24"/>
              </w:rPr>
            </w:pPr>
            <w:r>
              <w:rPr>
                <w:rFonts w:ascii="Times New Roman" w:hAnsi="Times New Roman" w:cs="Times New Roman"/>
                <w:sz w:val="24"/>
                <w:szCs w:val="24"/>
              </w:rPr>
              <w:t>Biphasic; initial half-life was 2.4 hours and terminal half-life is about 20 hours</w:t>
            </w:r>
          </w:p>
        </w:tc>
      </w:tr>
    </w:tbl>
    <w:p w14:paraId="1C353E87" w14:textId="77777777" w:rsidR="00C64539" w:rsidRDefault="00C64539">
      <w:pPr>
        <w:spacing w:after="0" w:line="240" w:lineRule="auto"/>
        <w:jc w:val="both"/>
        <w:rPr>
          <w:rFonts w:ascii="Times New Roman" w:hAnsi="Times New Roman" w:cs="Times New Roman"/>
          <w:b/>
          <w:bCs/>
          <w:sz w:val="24"/>
          <w:szCs w:val="24"/>
        </w:rPr>
      </w:pPr>
    </w:p>
    <w:p w14:paraId="1C353E88" w14:textId="77777777" w:rsidR="00C64539" w:rsidRDefault="006F58E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6.0 NON-CLINICAL PROPERTIES</w:t>
      </w:r>
    </w:p>
    <w:p w14:paraId="1C353E89" w14:textId="77777777" w:rsidR="00C64539" w:rsidRDefault="006F58E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6.1 ANIMAL TOXICOLOGY OR PHARMACOLOGY</w:t>
      </w:r>
    </w:p>
    <w:p w14:paraId="1C353E8A" w14:textId="77777777" w:rsidR="00C64539" w:rsidRDefault="006F58E8">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Mutagenic and tumorigenic potential:</w:t>
      </w:r>
    </w:p>
    <w:p w14:paraId="1C353E8B" w14:textId="77777777" w:rsidR="00C64539" w:rsidRDefault="006F58E8">
      <w:pPr>
        <w:spacing w:line="240" w:lineRule="auto"/>
        <w:jc w:val="both"/>
        <w:rPr>
          <w:rFonts w:ascii="Times New Roman" w:hAnsi="Times New Roman" w:cs="Times New Roman"/>
          <w:sz w:val="24"/>
          <w:szCs w:val="24"/>
        </w:rPr>
      </w:pPr>
      <w:r>
        <w:rPr>
          <w:rFonts w:ascii="Times New Roman" w:hAnsi="Times New Roman" w:cs="Times New Roman"/>
          <w:sz w:val="24"/>
          <w:szCs w:val="24"/>
        </w:rPr>
        <w:t>In in-vivo and in-vitro studies with chlordiazepoxide there are indications for a mutagenic effect. Nevertheless, in similar test systems results are negative. The relevance of the positive findings is currently unclear. In carcinogenicity studies in mice an increase of liver tumors was seen at high doses, especially in males, whereas no increase of tumor incidence was seen in rats.</w:t>
      </w:r>
    </w:p>
    <w:p w14:paraId="1C353E8C" w14:textId="77777777" w:rsidR="00C64539" w:rsidRDefault="006F58E8">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Reproductive toxicity:</w:t>
      </w:r>
    </w:p>
    <w:p w14:paraId="1C353E8D" w14:textId="77777777" w:rsidR="00C64539" w:rsidRDefault="006F58E8">
      <w:pPr>
        <w:spacing w:line="240" w:lineRule="auto"/>
        <w:jc w:val="both"/>
        <w:rPr>
          <w:rFonts w:ascii="Times New Roman" w:hAnsi="Times New Roman" w:cs="Times New Roman"/>
          <w:sz w:val="24"/>
          <w:szCs w:val="24"/>
        </w:rPr>
      </w:pPr>
      <w:r>
        <w:rPr>
          <w:rFonts w:ascii="Times New Roman" w:hAnsi="Times New Roman" w:cs="Times New Roman"/>
          <w:sz w:val="24"/>
          <w:szCs w:val="24"/>
        </w:rPr>
        <w:t>Observations in humans have shown no clear evidence of a teratogenic effect of chlordiazepoxide up to now, whereas in animal studies changes in the urogenital tract, lung anomalies and malformations of the skull (exencephaly, cleft palate), behavioral disorders and neurochemical changes have been observed in the offspring. The malformation risk with administration of therapeutic doses of benzodiazepines in early pregnancy appears to be low, although some epidemiological studies have found evidence of an increased risk for the occurrence of cleft palate and there are few case reports of malformations and mental retardation of prenatally exposed children after chlordiazepoxide overdose and poisoning.</w:t>
      </w:r>
    </w:p>
    <w:p w14:paraId="1C353E8E" w14:textId="77777777" w:rsidR="00C64539" w:rsidRDefault="006F58E8">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bCs/>
          <w:sz w:val="24"/>
          <w:szCs w:val="24"/>
        </w:rPr>
        <w:t>7.0 DESCRIPTION</w:t>
      </w:r>
    </w:p>
    <w:p w14:paraId="1C353E90" w14:textId="77777777" w:rsidR="00C64539" w:rsidRDefault="006F58E8">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Light green to green coloured, circular biconvex film coated tablets plain on both sides. </w:t>
      </w:r>
    </w:p>
    <w:p w14:paraId="1C353E91" w14:textId="77777777" w:rsidR="00C64539" w:rsidRDefault="00C64539">
      <w:pPr>
        <w:spacing w:after="0" w:line="240" w:lineRule="auto"/>
        <w:jc w:val="both"/>
        <w:rPr>
          <w:rFonts w:ascii="Times New Roman" w:hAnsi="Times New Roman" w:cs="Times New Roman"/>
          <w:b/>
          <w:bCs/>
          <w:sz w:val="24"/>
          <w:szCs w:val="24"/>
        </w:rPr>
      </w:pPr>
    </w:p>
    <w:p w14:paraId="1C353E92"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8.0 PHARMACEUTICAL PARTICULARS</w:t>
      </w:r>
    </w:p>
    <w:p w14:paraId="1C353E93"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8.1 INCOMPATIBILITIES</w:t>
      </w:r>
    </w:p>
    <w:p w14:paraId="1C353E9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 applicable</w:t>
      </w:r>
    </w:p>
    <w:p w14:paraId="1C353E95" w14:textId="77777777" w:rsidR="00C64539" w:rsidRDefault="00C64539">
      <w:pPr>
        <w:spacing w:after="0" w:line="240" w:lineRule="auto"/>
        <w:jc w:val="both"/>
        <w:rPr>
          <w:rFonts w:ascii="Times New Roman" w:hAnsi="Times New Roman" w:cs="Times New Roman"/>
          <w:b/>
          <w:bCs/>
          <w:sz w:val="24"/>
          <w:szCs w:val="24"/>
        </w:rPr>
      </w:pPr>
    </w:p>
    <w:p w14:paraId="1C353E96"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8.2 SHELF LIFE</w:t>
      </w:r>
    </w:p>
    <w:p w14:paraId="1C353E97"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Refer Pack</w:t>
      </w:r>
    </w:p>
    <w:p w14:paraId="1C353E98" w14:textId="77777777" w:rsidR="00C64539" w:rsidRDefault="00C64539">
      <w:pPr>
        <w:spacing w:after="0" w:line="240" w:lineRule="auto"/>
        <w:jc w:val="both"/>
        <w:rPr>
          <w:rFonts w:ascii="Times New Roman" w:hAnsi="Times New Roman" w:cs="Times New Roman"/>
          <w:b/>
          <w:bCs/>
          <w:sz w:val="24"/>
          <w:szCs w:val="24"/>
        </w:rPr>
      </w:pPr>
    </w:p>
    <w:p w14:paraId="1C353E99"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8.3 PACKAGING INFORMATION</w:t>
      </w:r>
    </w:p>
    <w:p w14:paraId="1C353E9A"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Strip of 20 tablets</w:t>
      </w:r>
    </w:p>
    <w:p w14:paraId="1C353E9B" w14:textId="77777777" w:rsidR="00C64539" w:rsidRDefault="00C64539">
      <w:pPr>
        <w:spacing w:after="0" w:line="240" w:lineRule="auto"/>
        <w:jc w:val="both"/>
        <w:rPr>
          <w:rFonts w:ascii="Times New Roman" w:hAnsi="Times New Roman" w:cs="Times New Roman"/>
          <w:b/>
          <w:bCs/>
          <w:sz w:val="24"/>
          <w:szCs w:val="24"/>
        </w:rPr>
      </w:pPr>
    </w:p>
    <w:p w14:paraId="1C353E9C"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8.4 STORAGE AND HANDLING INSTRUCTIONS</w:t>
      </w:r>
    </w:p>
    <w:p w14:paraId="1C353E9D" w14:textId="5DF35A12" w:rsidR="00C64539" w:rsidRDefault="006F58E8">
      <w:pPr>
        <w:spacing w:after="0" w:line="240" w:lineRule="auto"/>
        <w:jc w:val="both"/>
        <w:rPr>
          <w:rFonts w:ascii="Times New Roman" w:hAnsi="Times New Roman" w:cs="Times New Roman"/>
          <w:b/>
          <w:sz w:val="24"/>
          <w:szCs w:val="24"/>
        </w:rPr>
      </w:pPr>
      <w:r w:rsidRPr="00C670D8">
        <w:rPr>
          <w:rFonts w:ascii="Times New Roman" w:hAnsi="Times New Roman" w:cs="Times New Roman"/>
          <w:b/>
          <w:sz w:val="24"/>
          <w:szCs w:val="24"/>
        </w:rPr>
        <w:t>Store at a temperature not exceeding 25° C, protected from light.</w:t>
      </w:r>
    </w:p>
    <w:p w14:paraId="1C353E9E" w14:textId="77777777" w:rsidR="00C64539" w:rsidRPr="00C670D8" w:rsidRDefault="006F58E8">
      <w:pPr>
        <w:spacing w:after="0" w:line="240" w:lineRule="auto"/>
        <w:jc w:val="both"/>
        <w:rPr>
          <w:rFonts w:ascii="Times New Roman" w:hAnsi="Times New Roman" w:cs="Times New Roman"/>
          <w:bCs/>
          <w:sz w:val="24"/>
          <w:szCs w:val="24"/>
        </w:rPr>
      </w:pPr>
      <w:r w:rsidRPr="00C670D8">
        <w:rPr>
          <w:rFonts w:ascii="Times New Roman" w:hAnsi="Times New Roman" w:cs="Times New Roman"/>
          <w:bCs/>
          <w:sz w:val="24"/>
          <w:szCs w:val="24"/>
        </w:rPr>
        <w:t xml:space="preserve">Medicine: Keep out of reach of children. </w:t>
      </w:r>
    </w:p>
    <w:p w14:paraId="1C353E9F" w14:textId="77777777" w:rsidR="00C64539" w:rsidRDefault="00C64539">
      <w:pPr>
        <w:spacing w:after="0" w:line="240" w:lineRule="auto"/>
        <w:jc w:val="both"/>
        <w:rPr>
          <w:rFonts w:ascii="Times New Roman" w:hAnsi="Times New Roman" w:cs="Times New Roman"/>
          <w:b/>
          <w:bCs/>
          <w:sz w:val="24"/>
          <w:szCs w:val="24"/>
        </w:rPr>
      </w:pPr>
    </w:p>
    <w:p w14:paraId="1C353EA0" w14:textId="77777777" w:rsidR="00C64539" w:rsidRDefault="006F58E8">
      <w:pPr>
        <w:spacing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rPr>
        <w:t>9.0 PATIENT COUNSELING</w:t>
      </w:r>
    </w:p>
    <w:p w14:paraId="1C353EA1" w14:textId="77777777" w:rsidR="00C64539" w:rsidRDefault="006F58E8">
      <w:pPr>
        <w:pStyle w:val="ListParagraph"/>
        <w:numPr>
          <w:ilvl w:val="0"/>
          <w:numId w:val="5"/>
        </w:numPr>
        <w:spacing w:after="0" w:line="240" w:lineRule="auto"/>
        <w:jc w:val="both"/>
        <w:rPr>
          <w:rFonts w:ascii="Times New Roman" w:hAnsi="Times New Roman" w:cs="Times New Roman"/>
          <w:b/>
          <w:sz w:val="24"/>
          <w:szCs w:val="24"/>
        </w:rPr>
      </w:pPr>
      <w:bookmarkStart w:id="0" w:name="_Hlk95919552"/>
      <w:r>
        <w:rPr>
          <w:rFonts w:ascii="Times New Roman" w:hAnsi="Times New Roman" w:cs="Times New Roman"/>
          <w:b/>
          <w:sz w:val="24"/>
          <w:szCs w:val="24"/>
        </w:rPr>
        <w:t xml:space="preserve">Appropriate treatment </w:t>
      </w:r>
    </w:p>
    <w:p w14:paraId="1C353EA2" w14:textId="5BD34951"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hAnsi="Times New Roman" w:cs="Times New Roman"/>
          <w:bCs/>
          <w:sz w:val="24"/>
          <w:szCs w:val="24"/>
        </w:rPr>
        <w:t xml:space="preserve">Each film-coated tablet contains: Chlordiazepoxide I.P. 5 mg and Clidinium Bromide USP     2.5 mg. this medicine is used </w:t>
      </w:r>
      <w:r>
        <w:rPr>
          <w:rFonts w:ascii="Times New Roman" w:eastAsia="Times New Roman" w:hAnsi="Times New Roman" w:cs="Times New Roman"/>
          <w:sz w:val="24"/>
          <w:szCs w:val="24"/>
          <w:lang w:eastAsia="en-IN"/>
        </w:rPr>
        <w:t>for the treatment of organic manifestations of anxiety and tension in gastrointestinal and genitourinary tracts.</w:t>
      </w:r>
    </w:p>
    <w:p w14:paraId="1C353EA3"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The posology should be adjusted according to the individual needs of the patient as directed by the physician. </w:t>
      </w:r>
      <w:r>
        <w:rPr>
          <w:rFonts w:ascii="Times New Roman" w:hAnsi="Times New Roman" w:cs="Times New Roman"/>
          <w:sz w:val="24"/>
          <w:szCs w:val="24"/>
        </w:rPr>
        <w:t xml:space="preserve">The tablets should be swallowed with water. They may be taken with meals, when going to bed or when experiencing pain. </w:t>
      </w:r>
    </w:p>
    <w:p w14:paraId="1C353EA4"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Use of Librax is not recommended in children and pregnant and lactating mothers.</w:t>
      </w:r>
    </w:p>
    <w:p w14:paraId="1C353EA5"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Caution should be exercised in prescribing Clidinium bromide to patients suffering from prostate hypertrophy, Renal or hepatic Impairment, Coronary insufficiency, heart rate problems, hyperthyroidism.</w:t>
      </w:r>
    </w:p>
    <w:p w14:paraId="1C353EA6" w14:textId="77777777" w:rsidR="00C64539" w:rsidRDefault="00C64539">
      <w:pPr>
        <w:spacing w:after="0" w:line="240" w:lineRule="auto"/>
        <w:jc w:val="both"/>
        <w:rPr>
          <w:rFonts w:ascii="Times New Roman" w:hAnsi="Times New Roman" w:cs="Times New Roman"/>
          <w:sz w:val="24"/>
          <w:szCs w:val="24"/>
        </w:rPr>
      </w:pPr>
    </w:p>
    <w:p w14:paraId="1C353EA7" w14:textId="77777777" w:rsidR="00C64539" w:rsidRDefault="006F58E8">
      <w:pPr>
        <w:autoSpaceDE w:val="0"/>
        <w:autoSpaceDN w:val="0"/>
        <w:adjustRightInd w:val="0"/>
        <w:spacing w:after="0" w:line="240" w:lineRule="auto"/>
        <w:jc w:val="both"/>
        <w:rPr>
          <w:rFonts w:ascii="Times New Roman" w:eastAsia="TT3Do00" w:hAnsi="Times New Roman" w:cs="Times New Roman"/>
          <w:sz w:val="24"/>
          <w:szCs w:val="24"/>
        </w:rPr>
      </w:pPr>
      <w:r>
        <w:rPr>
          <w:rFonts w:ascii="Times New Roman" w:eastAsia="TT3Do00" w:hAnsi="Times New Roman" w:cs="Times New Roman"/>
          <w:sz w:val="24"/>
          <w:szCs w:val="24"/>
        </w:rPr>
        <w:t xml:space="preserve">As there is risk of drowsiness, medication should not be used when driving or operating heavy machinery. </w:t>
      </w:r>
    </w:p>
    <w:p w14:paraId="1C353EA8" w14:textId="77777777" w:rsidR="00C64539" w:rsidRDefault="00C64539">
      <w:pPr>
        <w:autoSpaceDE w:val="0"/>
        <w:autoSpaceDN w:val="0"/>
        <w:adjustRightInd w:val="0"/>
        <w:spacing w:after="0" w:line="240" w:lineRule="auto"/>
        <w:jc w:val="both"/>
        <w:rPr>
          <w:rFonts w:ascii="Times New Roman" w:hAnsi="Times New Roman" w:cs="Times New Roman"/>
          <w:sz w:val="24"/>
          <w:szCs w:val="24"/>
        </w:rPr>
      </w:pPr>
    </w:p>
    <w:p w14:paraId="1C353EA9" w14:textId="77777777" w:rsidR="00C64539" w:rsidRDefault="006F5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Advice the patient to reach out to the doctor if these symptoms do not improve after a while, if you develop new symptoms or you are concerned about your symptoms.</w:t>
      </w:r>
    </w:p>
    <w:p w14:paraId="1C353EAA" w14:textId="77777777" w:rsidR="00C64539" w:rsidRDefault="00C64539">
      <w:pPr>
        <w:spacing w:after="0" w:line="240" w:lineRule="auto"/>
        <w:jc w:val="both"/>
        <w:rPr>
          <w:rFonts w:ascii="Times New Roman" w:hAnsi="Times New Roman" w:cs="Times New Roman"/>
          <w:sz w:val="24"/>
          <w:szCs w:val="24"/>
        </w:rPr>
      </w:pPr>
    </w:p>
    <w:p w14:paraId="1C353EAB" w14:textId="77777777" w:rsidR="00C64539" w:rsidRDefault="00C64539">
      <w:pPr>
        <w:spacing w:after="0" w:line="240" w:lineRule="auto"/>
        <w:jc w:val="both"/>
        <w:rPr>
          <w:rFonts w:ascii="Times New Roman" w:hAnsi="Times New Roman" w:cs="Times New Roman"/>
          <w:bCs/>
          <w:sz w:val="24"/>
          <w:szCs w:val="24"/>
          <w:u w:val="single"/>
        </w:rPr>
      </w:pPr>
    </w:p>
    <w:p w14:paraId="1C353EAC" w14:textId="77777777" w:rsidR="00C64539" w:rsidRDefault="006F58E8">
      <w:pPr>
        <w:pStyle w:val="ListParagraph"/>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Drug Interaction</w:t>
      </w:r>
    </w:p>
    <w:bookmarkEnd w:id="0"/>
    <w:p w14:paraId="1C353EAD" w14:textId="77777777" w:rsidR="00C64539" w:rsidRDefault="006F58E8">
      <w:pPr>
        <w:spacing w:line="240"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u w:val="single"/>
        </w:rPr>
        <w:lastRenderedPageBreak/>
        <w:t xml:space="preserve">Concomitant intake of Librax with alcohol should be avoided. </w:t>
      </w:r>
      <w:r>
        <w:rPr>
          <w:rFonts w:ascii="Times New Roman" w:hAnsi="Times New Roman" w:cs="Times New Roman"/>
          <w:sz w:val="24"/>
          <w:szCs w:val="24"/>
          <w:shd w:val="clear" w:color="auto" w:fill="FFFFFF"/>
        </w:rPr>
        <w:t>Librax if used along with drugs such as neuroleptics, antipsychotics, tranquillisers, antidepressants, hypnotics, analgesics, anaesthetics, barbiturates and sedative antihistamine may lead to enhancement of central depressive effects. The elderly may require special supervision.</w:t>
      </w:r>
    </w:p>
    <w:p w14:paraId="1C353EAE" w14:textId="77777777" w:rsidR="00C64539" w:rsidRDefault="006F58E8">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Extra care in adjusting dosage in the initial stages of treatment when Librax is used concurrently with anti-epileptic drugs.</w:t>
      </w:r>
      <w:r>
        <w:rPr>
          <w:rFonts w:ascii="Times New Roman" w:hAnsi="Times New Roman" w:cs="Times New Roman"/>
          <w:sz w:val="24"/>
          <w:szCs w:val="24"/>
        </w:rPr>
        <w:t xml:space="preserve"> </w:t>
      </w:r>
    </w:p>
    <w:p w14:paraId="1C353EAF" w14:textId="77777777" w:rsidR="00C64539" w:rsidRDefault="006F58E8">
      <w:pPr>
        <w:pStyle w:val="ListParagraph"/>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Warnings and Precautions</w:t>
      </w:r>
    </w:p>
    <w:p w14:paraId="1C353EB0" w14:textId="77777777" w:rsidR="00C64539" w:rsidRDefault="006F58E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Treatment with Librax should be as brief as possible. Withdrawal symptoms of the barbiturate type have occurred after the discontinuation of benzodiazepines. Risk of withdrawal/rebound phenomena is greater after abrupt discontinuation of treatment; it is recommended that the dosage is decreased gradually. Dosing in geriatric subjects must be initiated cautiously and can be increased gradually if needed and tolerated. Caution should be exercised in prescribing Clidinium bromide to patients suffering from prostate hypertrophy, renal or hepatic impairment, coronary insufficiency, heart rate problems, hyperthyroidism. </w:t>
      </w:r>
    </w:p>
    <w:p w14:paraId="1C353EB1" w14:textId="77777777" w:rsidR="00C64539" w:rsidRDefault="00C64539">
      <w:pPr>
        <w:pStyle w:val="ListParagraph"/>
        <w:spacing w:line="240" w:lineRule="auto"/>
        <w:ind w:left="360"/>
        <w:jc w:val="both"/>
        <w:rPr>
          <w:rFonts w:ascii="Times New Roman" w:hAnsi="Times New Roman" w:cs="Times New Roman"/>
          <w:b/>
          <w:sz w:val="24"/>
          <w:szCs w:val="24"/>
        </w:rPr>
      </w:pPr>
    </w:p>
    <w:p w14:paraId="1C353EB2" w14:textId="77777777" w:rsidR="00C64539" w:rsidRDefault="006F58E8">
      <w:pPr>
        <w:spacing w:line="240" w:lineRule="auto"/>
        <w:jc w:val="both"/>
        <w:rPr>
          <w:rFonts w:ascii="Times New Roman" w:hAnsi="Times New Roman" w:cs="Times New Roman"/>
          <w:b/>
          <w:sz w:val="24"/>
          <w:szCs w:val="24"/>
        </w:rPr>
      </w:pPr>
      <w:r>
        <w:rPr>
          <w:rFonts w:ascii="Times New Roman" w:hAnsi="Times New Roman" w:cs="Times New Roman"/>
          <w:b/>
          <w:sz w:val="24"/>
          <w:szCs w:val="24"/>
        </w:rPr>
        <w:t>10.0 DETAILS OF MANUFACTURER</w:t>
      </w:r>
    </w:p>
    <w:p w14:paraId="1C353EB3" w14:textId="77777777" w:rsidR="00C64539" w:rsidRDefault="006F58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MANUFACTURED BY</w:t>
      </w:r>
    </w:p>
    <w:p w14:paraId="1C353EB4"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Abbott Healthcare Pvt. Ltd., </w:t>
      </w:r>
    </w:p>
    <w:p w14:paraId="1C353EB5"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Village Bhatauli Khurd, P.O Baddi- 173205, </w:t>
      </w:r>
    </w:p>
    <w:p w14:paraId="1C353EB6" w14:textId="52FC1925"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Dist Solan, Himachal Pradesh,</w:t>
      </w:r>
    </w:p>
    <w:p w14:paraId="1C353EB7" w14:textId="77777777" w:rsidR="00C64539" w:rsidRDefault="006F58E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India.</w:t>
      </w:r>
    </w:p>
    <w:p w14:paraId="1C353EB8" w14:textId="77777777" w:rsidR="00C64539" w:rsidRDefault="00C64539">
      <w:pPr>
        <w:spacing w:after="0" w:line="240" w:lineRule="auto"/>
        <w:jc w:val="both"/>
        <w:rPr>
          <w:rFonts w:ascii="Times New Roman" w:hAnsi="Times New Roman" w:cs="Times New Roman"/>
          <w:b/>
          <w:bCs/>
          <w:i/>
          <w:sz w:val="24"/>
          <w:szCs w:val="24"/>
        </w:rPr>
      </w:pPr>
    </w:p>
    <w:p w14:paraId="1C353EB9" w14:textId="77777777" w:rsidR="00C64539" w:rsidRDefault="006F58E8">
      <w:pPr>
        <w:spacing w:line="240" w:lineRule="auto"/>
        <w:jc w:val="both"/>
        <w:rPr>
          <w:rFonts w:ascii="Times New Roman" w:hAnsi="Times New Roman" w:cs="Times New Roman"/>
          <w:b/>
          <w:sz w:val="24"/>
          <w:szCs w:val="24"/>
        </w:rPr>
      </w:pPr>
      <w:r>
        <w:rPr>
          <w:rFonts w:ascii="Times New Roman" w:hAnsi="Times New Roman" w:cs="Times New Roman"/>
          <w:b/>
          <w:sz w:val="24"/>
          <w:szCs w:val="24"/>
        </w:rPr>
        <w:t>11.0 DETAILS OF REVISION OR LICENSE NUMBER WITH DATE</w:t>
      </w:r>
    </w:p>
    <w:p w14:paraId="1C353EBA" w14:textId="597D90BB" w:rsidR="00C64539" w:rsidRDefault="006F58E8">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Mfg. License No. MNB/06/295, dated </w:t>
      </w:r>
      <w:r w:rsidR="00E03EFC">
        <w:rPr>
          <w:rFonts w:ascii="Times New Roman" w:hAnsi="Times New Roman" w:cs="Times New Roman"/>
          <w:bCs/>
          <w:sz w:val="24"/>
          <w:szCs w:val="24"/>
        </w:rPr>
        <w:t>02/12/2023.</w:t>
      </w:r>
    </w:p>
    <w:p w14:paraId="1C353EBB" w14:textId="77777777" w:rsidR="00C64539" w:rsidRDefault="006F58E8">
      <w:pPr>
        <w:spacing w:line="240" w:lineRule="auto"/>
        <w:jc w:val="both"/>
        <w:rPr>
          <w:rFonts w:ascii="Times New Roman" w:hAnsi="Times New Roman" w:cs="Times New Roman"/>
          <w:b/>
          <w:sz w:val="24"/>
          <w:szCs w:val="24"/>
        </w:rPr>
      </w:pPr>
      <w:r>
        <w:rPr>
          <w:rFonts w:ascii="Times New Roman" w:hAnsi="Times New Roman" w:cs="Times New Roman"/>
          <w:b/>
          <w:sz w:val="24"/>
          <w:szCs w:val="24"/>
        </w:rPr>
        <w:t>12.0 DATE OF REVSION</w:t>
      </w:r>
    </w:p>
    <w:p w14:paraId="1C353EBC" w14:textId="532D09A5" w:rsidR="00C64539" w:rsidRDefault="006F58E8">
      <w:pPr>
        <w:spacing w:after="0" w:line="240" w:lineRule="auto"/>
        <w:jc w:val="both"/>
        <w:rPr>
          <w:rFonts w:ascii="Times New Roman" w:hAnsi="Times New Roman" w:cs="Times New Roman"/>
          <w:b/>
          <w:bCs/>
          <w:i/>
          <w:sz w:val="24"/>
          <w:szCs w:val="24"/>
        </w:rPr>
      </w:pPr>
      <w:r>
        <w:rPr>
          <w:rFonts w:ascii="Times New Roman" w:hAnsi="Times New Roman" w:cs="Times New Roman"/>
          <w:iCs/>
          <w:sz w:val="24"/>
          <w:szCs w:val="24"/>
        </w:rPr>
        <w:t xml:space="preserve">Version: 1.0 dated </w:t>
      </w:r>
      <w:r w:rsidR="00040A9F">
        <w:rPr>
          <w:rFonts w:ascii="Times New Roman" w:hAnsi="Times New Roman" w:cs="Times New Roman"/>
          <w:iCs/>
          <w:sz w:val="24"/>
          <w:szCs w:val="24"/>
        </w:rPr>
        <w:t>18/01/2024</w:t>
      </w:r>
    </w:p>
    <w:p w14:paraId="1C353EBD" w14:textId="77777777" w:rsidR="00C64539" w:rsidRDefault="00C64539">
      <w:pPr>
        <w:spacing w:after="0" w:line="240" w:lineRule="auto"/>
        <w:jc w:val="both"/>
        <w:rPr>
          <w:rFonts w:ascii="Times New Roman" w:hAnsi="Times New Roman" w:cs="Times New Roman"/>
          <w:b/>
          <w:bCs/>
          <w:i/>
          <w:sz w:val="24"/>
          <w:szCs w:val="24"/>
        </w:rPr>
      </w:pPr>
    </w:p>
    <w:p w14:paraId="1C353EBE" w14:textId="77777777" w:rsidR="00C64539" w:rsidRDefault="006F58E8">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 Regd. Trademark of Abbott Healthcare Pvt. Ltd.</w:t>
      </w:r>
    </w:p>
    <w:p w14:paraId="1C353EBF" w14:textId="77777777" w:rsidR="00C64539" w:rsidRDefault="00C64539">
      <w:pPr>
        <w:spacing w:after="0" w:line="240" w:lineRule="auto"/>
        <w:jc w:val="both"/>
        <w:rPr>
          <w:rFonts w:ascii="Times New Roman" w:hAnsi="Times New Roman" w:cs="Times New Roman"/>
          <w:b/>
          <w:bCs/>
          <w:i/>
          <w:sz w:val="24"/>
          <w:szCs w:val="24"/>
        </w:rPr>
      </w:pPr>
    </w:p>
    <w:p w14:paraId="1C353EC0" w14:textId="77777777" w:rsidR="00C64539" w:rsidRDefault="006F58E8">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For Product Complaints/Adverse events or Queries please write to </w:t>
      </w:r>
    </w:p>
    <w:p w14:paraId="1C353EC1" w14:textId="77777777" w:rsidR="00C64539" w:rsidRDefault="006F58E8">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webmasterindia@abbott.com</w:t>
      </w:r>
    </w:p>
    <w:sectPr w:rsidR="00C645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33196" w14:textId="77777777" w:rsidR="00FD5163" w:rsidRDefault="00FD5163">
      <w:pPr>
        <w:spacing w:line="240" w:lineRule="auto"/>
      </w:pPr>
      <w:r>
        <w:separator/>
      </w:r>
    </w:p>
  </w:endnote>
  <w:endnote w:type="continuationSeparator" w:id="0">
    <w:p w14:paraId="38DC144A" w14:textId="77777777" w:rsidR="00FD5163" w:rsidRDefault="00FD5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3Do00">
    <w:altName w:val="Yu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1EC4" w14:textId="77777777" w:rsidR="00040A9F" w:rsidRDefault="00040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3EC8" w14:textId="3A2E5035" w:rsidR="00C64539" w:rsidRDefault="006F58E8">
    <w:pPr>
      <w:pStyle w:val="Foo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Version 1.0 dated </w:t>
    </w:r>
    <w:r w:rsidR="00040A9F">
      <w:rPr>
        <w:rFonts w:ascii="Times New Roman" w:eastAsia="Times New Roman" w:hAnsi="Times New Roman" w:cs="Times New Roman"/>
        <w:sz w:val="20"/>
        <w:szCs w:val="20"/>
        <w:lang w:val="en-US"/>
      </w:rPr>
      <w:t>18</w:t>
    </w:r>
    <w:r w:rsidR="00040A9F" w:rsidRPr="00C670D8">
      <w:rPr>
        <w:rFonts w:ascii="Times New Roman" w:eastAsia="Times New Roman" w:hAnsi="Times New Roman" w:cs="Times New Roman"/>
        <w:sz w:val="20"/>
        <w:szCs w:val="20"/>
        <w:vertAlign w:val="superscript"/>
        <w:lang w:val="en-US"/>
      </w:rPr>
      <w:t>th</w:t>
    </w:r>
    <w:r w:rsidR="00040A9F">
      <w:rPr>
        <w:rFonts w:ascii="Times New Roman" w:eastAsia="Times New Roman" w:hAnsi="Times New Roman" w:cs="Times New Roman"/>
        <w:sz w:val="20"/>
        <w:szCs w:val="20"/>
        <w:lang w:val="en-US"/>
      </w:rPr>
      <w:t xml:space="preserve"> January 2024</w:t>
    </w:r>
  </w:p>
  <w:p w14:paraId="1C353ECA" w14:textId="77777777" w:rsidR="00C64539" w:rsidRDefault="00C64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C705" w14:textId="77777777" w:rsidR="00040A9F" w:rsidRDefault="00040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68D6" w14:textId="77777777" w:rsidR="00FD5163" w:rsidRDefault="00FD5163">
      <w:pPr>
        <w:spacing w:after="0"/>
      </w:pPr>
      <w:r>
        <w:separator/>
      </w:r>
    </w:p>
  </w:footnote>
  <w:footnote w:type="continuationSeparator" w:id="0">
    <w:p w14:paraId="3F773820" w14:textId="77777777" w:rsidR="00FD5163" w:rsidRDefault="00FD51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98ED" w14:textId="77777777" w:rsidR="00040A9F" w:rsidRDefault="00040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1865D" w14:textId="77777777" w:rsidR="00040A9F" w:rsidRDefault="00040A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12AB" w14:textId="77777777" w:rsidR="00040A9F" w:rsidRDefault="00040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341"/>
    <w:multiLevelType w:val="multilevel"/>
    <w:tmpl w:val="11E4034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6C26CF7"/>
    <w:multiLevelType w:val="multilevel"/>
    <w:tmpl w:val="36C26CF7"/>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94C5580"/>
    <w:multiLevelType w:val="multilevel"/>
    <w:tmpl w:val="394C558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F704D27"/>
    <w:multiLevelType w:val="multilevel"/>
    <w:tmpl w:val="4F704D27"/>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B337B30"/>
    <w:multiLevelType w:val="multilevel"/>
    <w:tmpl w:val="5B337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216026">
    <w:abstractNumId w:val="1"/>
  </w:num>
  <w:num w:numId="2" w16cid:durableId="573243764">
    <w:abstractNumId w:val="3"/>
  </w:num>
  <w:num w:numId="3" w16cid:durableId="958684291">
    <w:abstractNumId w:val="4"/>
  </w:num>
  <w:num w:numId="4" w16cid:durableId="1072240065">
    <w:abstractNumId w:val="0"/>
  </w:num>
  <w:num w:numId="5" w16cid:durableId="91301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E40"/>
    <w:rsid w:val="00000C28"/>
    <w:rsid w:val="00006240"/>
    <w:rsid w:val="00015C30"/>
    <w:rsid w:val="000312E7"/>
    <w:rsid w:val="00040A9F"/>
    <w:rsid w:val="00043626"/>
    <w:rsid w:val="00092B59"/>
    <w:rsid w:val="00096F52"/>
    <w:rsid w:val="000A3F0E"/>
    <w:rsid w:val="000C419F"/>
    <w:rsid w:val="00111883"/>
    <w:rsid w:val="00117CF0"/>
    <w:rsid w:val="001306F5"/>
    <w:rsid w:val="00136180"/>
    <w:rsid w:val="001443D4"/>
    <w:rsid w:val="00153B89"/>
    <w:rsid w:val="00171A48"/>
    <w:rsid w:val="0019347D"/>
    <w:rsid w:val="0019553C"/>
    <w:rsid w:val="001F78F1"/>
    <w:rsid w:val="00225774"/>
    <w:rsid w:val="00240396"/>
    <w:rsid w:val="0024055C"/>
    <w:rsid w:val="00242FE4"/>
    <w:rsid w:val="00266BA7"/>
    <w:rsid w:val="002731EA"/>
    <w:rsid w:val="00282C4E"/>
    <w:rsid w:val="002A21F0"/>
    <w:rsid w:val="002A5453"/>
    <w:rsid w:val="002B4B74"/>
    <w:rsid w:val="002D5285"/>
    <w:rsid w:val="002E57F5"/>
    <w:rsid w:val="002E6F0E"/>
    <w:rsid w:val="002F7080"/>
    <w:rsid w:val="00301B79"/>
    <w:rsid w:val="00317F87"/>
    <w:rsid w:val="0034718E"/>
    <w:rsid w:val="00384D44"/>
    <w:rsid w:val="003C745F"/>
    <w:rsid w:val="003E13E5"/>
    <w:rsid w:val="004240DC"/>
    <w:rsid w:val="0042784A"/>
    <w:rsid w:val="00431D0B"/>
    <w:rsid w:val="004501EF"/>
    <w:rsid w:val="004529ED"/>
    <w:rsid w:val="00480E68"/>
    <w:rsid w:val="0049764A"/>
    <w:rsid w:val="004C5FC5"/>
    <w:rsid w:val="004E53E5"/>
    <w:rsid w:val="004E73DD"/>
    <w:rsid w:val="004F1175"/>
    <w:rsid w:val="004F19E0"/>
    <w:rsid w:val="00505AC2"/>
    <w:rsid w:val="0052112F"/>
    <w:rsid w:val="005335DA"/>
    <w:rsid w:val="005624FC"/>
    <w:rsid w:val="00571F06"/>
    <w:rsid w:val="00596333"/>
    <w:rsid w:val="005A6543"/>
    <w:rsid w:val="005C0591"/>
    <w:rsid w:val="005C1A12"/>
    <w:rsid w:val="005C74FA"/>
    <w:rsid w:val="005E48CF"/>
    <w:rsid w:val="006112F7"/>
    <w:rsid w:val="006134C5"/>
    <w:rsid w:val="00626217"/>
    <w:rsid w:val="00636086"/>
    <w:rsid w:val="00641818"/>
    <w:rsid w:val="00663836"/>
    <w:rsid w:val="00686FD2"/>
    <w:rsid w:val="006918D1"/>
    <w:rsid w:val="00696614"/>
    <w:rsid w:val="006A1522"/>
    <w:rsid w:val="006A62BE"/>
    <w:rsid w:val="006C29E6"/>
    <w:rsid w:val="006C2B9F"/>
    <w:rsid w:val="006D1631"/>
    <w:rsid w:val="006E18BA"/>
    <w:rsid w:val="006E7F39"/>
    <w:rsid w:val="006F34DC"/>
    <w:rsid w:val="006F58E8"/>
    <w:rsid w:val="006F65D2"/>
    <w:rsid w:val="0071242D"/>
    <w:rsid w:val="00735B25"/>
    <w:rsid w:val="00743E40"/>
    <w:rsid w:val="00793AFD"/>
    <w:rsid w:val="007B20D2"/>
    <w:rsid w:val="007B4E41"/>
    <w:rsid w:val="007B689E"/>
    <w:rsid w:val="007C461D"/>
    <w:rsid w:val="007D1B1E"/>
    <w:rsid w:val="007E2EC4"/>
    <w:rsid w:val="007F6250"/>
    <w:rsid w:val="008159C4"/>
    <w:rsid w:val="00817E19"/>
    <w:rsid w:val="00826439"/>
    <w:rsid w:val="00847F5D"/>
    <w:rsid w:val="00863C60"/>
    <w:rsid w:val="0086467A"/>
    <w:rsid w:val="0087204A"/>
    <w:rsid w:val="008C6F0C"/>
    <w:rsid w:val="008D292D"/>
    <w:rsid w:val="009043BA"/>
    <w:rsid w:val="00912D11"/>
    <w:rsid w:val="009279BB"/>
    <w:rsid w:val="009A1A5D"/>
    <w:rsid w:val="009A1F68"/>
    <w:rsid w:val="009B0E62"/>
    <w:rsid w:val="009E38EC"/>
    <w:rsid w:val="00A04595"/>
    <w:rsid w:val="00A156F8"/>
    <w:rsid w:val="00A15B04"/>
    <w:rsid w:val="00A32D12"/>
    <w:rsid w:val="00A51551"/>
    <w:rsid w:val="00A85B43"/>
    <w:rsid w:val="00A92A61"/>
    <w:rsid w:val="00AA325E"/>
    <w:rsid w:val="00AB349F"/>
    <w:rsid w:val="00AC1C5E"/>
    <w:rsid w:val="00AC25A5"/>
    <w:rsid w:val="00AC42F0"/>
    <w:rsid w:val="00AC4524"/>
    <w:rsid w:val="00AD2FFF"/>
    <w:rsid w:val="00B147C6"/>
    <w:rsid w:val="00B3365E"/>
    <w:rsid w:val="00B43B6B"/>
    <w:rsid w:val="00B66677"/>
    <w:rsid w:val="00B92E4F"/>
    <w:rsid w:val="00B95488"/>
    <w:rsid w:val="00BA21FF"/>
    <w:rsid w:val="00BA5572"/>
    <w:rsid w:val="00BB748E"/>
    <w:rsid w:val="00BC6027"/>
    <w:rsid w:val="00BF7A12"/>
    <w:rsid w:val="00C172A7"/>
    <w:rsid w:val="00C27C81"/>
    <w:rsid w:val="00C37922"/>
    <w:rsid w:val="00C64539"/>
    <w:rsid w:val="00C670D8"/>
    <w:rsid w:val="00C72363"/>
    <w:rsid w:val="00C81780"/>
    <w:rsid w:val="00CA7A35"/>
    <w:rsid w:val="00CC4F1A"/>
    <w:rsid w:val="00CD5945"/>
    <w:rsid w:val="00CD7476"/>
    <w:rsid w:val="00CF507D"/>
    <w:rsid w:val="00D20590"/>
    <w:rsid w:val="00D30EC6"/>
    <w:rsid w:val="00D34471"/>
    <w:rsid w:val="00D37044"/>
    <w:rsid w:val="00D63863"/>
    <w:rsid w:val="00D86489"/>
    <w:rsid w:val="00DA6FC3"/>
    <w:rsid w:val="00DB4F91"/>
    <w:rsid w:val="00DD1AD9"/>
    <w:rsid w:val="00DF6D18"/>
    <w:rsid w:val="00E03EFC"/>
    <w:rsid w:val="00E07D66"/>
    <w:rsid w:val="00E1088C"/>
    <w:rsid w:val="00E21CAC"/>
    <w:rsid w:val="00E22580"/>
    <w:rsid w:val="00E23572"/>
    <w:rsid w:val="00E4206F"/>
    <w:rsid w:val="00E5162F"/>
    <w:rsid w:val="00E651AD"/>
    <w:rsid w:val="00E841FA"/>
    <w:rsid w:val="00EA2AF9"/>
    <w:rsid w:val="00EB32B7"/>
    <w:rsid w:val="00EB4758"/>
    <w:rsid w:val="00F45C48"/>
    <w:rsid w:val="00F5184C"/>
    <w:rsid w:val="00F67132"/>
    <w:rsid w:val="00F87496"/>
    <w:rsid w:val="00F96799"/>
    <w:rsid w:val="00FA010F"/>
    <w:rsid w:val="00FA7014"/>
    <w:rsid w:val="00FB1C32"/>
    <w:rsid w:val="00FB4A06"/>
    <w:rsid w:val="00FD5163"/>
    <w:rsid w:val="6B514CB6"/>
  </w:rsids>
  <m:mathPr>
    <m:mathFont m:val="Cambria Math"/>
    <m:brkBin m:val="before"/>
    <m:brkBinSub m:val="--"/>
    <m:smallFrac/>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3D92"/>
  <w15:docId w15:val="{76BB581C-0BDA-4DA2-91B9-A788DF5F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semiHidden/>
    <w:unhideWhenUsed/>
    <w:rPr>
      <w:color w:val="2270EE"/>
      <w:u w:val="none"/>
    </w:rPr>
  </w:style>
  <w:style w:type="paragraph" w:styleId="NormalWeb">
    <w:name w:val="Normal (Web)"/>
    <w:basedOn w:val="Normal"/>
    <w:uiPriority w:val="99"/>
    <w:unhideWhenUsed/>
    <w:pPr>
      <w:spacing w:after="312"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ld2">
    <w:name w:val="bold2"/>
    <w:basedOn w:val="DefaultParagraphFont"/>
    <w:rPr>
      <w:b/>
      <w:bCs/>
    </w:rPr>
  </w:style>
  <w:style w:type="paragraph" w:customStyle="1" w:styleId="Revision1">
    <w:name w:val="Revision1"/>
    <w:hidden/>
    <w:uiPriority w:val="99"/>
    <w:semiHidden/>
    <w:rPr>
      <w:sz w:val="22"/>
      <w:szCs w:val="22"/>
      <w:lang w:val="en-IN"/>
    </w:rPr>
  </w:style>
  <w:style w:type="paragraph" w:styleId="Revision">
    <w:name w:val="Revision"/>
    <w:hidden/>
    <w:uiPriority w:val="99"/>
    <w:semiHidden/>
    <w:rsid w:val="0042784A"/>
    <w:rPr>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7BB2A-760D-4E42-8BF2-84CA33E7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3174</Words>
  <Characters>18094</Characters>
  <Application>Microsoft Office Word</Application>
  <DocSecurity>0</DocSecurity>
  <Lines>150</Lines>
  <Paragraphs>42</Paragraphs>
  <ScaleCrop>false</ScaleCrop>
  <Company>Grizli777</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Manjusha Patankar</dc:creator>
  <cp:lastModifiedBy>Thube, Tejas</cp:lastModifiedBy>
  <cp:revision>14</cp:revision>
  <cp:lastPrinted>2022-06-13T08:14:00Z</cp:lastPrinted>
  <dcterms:created xsi:type="dcterms:W3CDTF">2024-01-17T11:13:00Z</dcterms:created>
  <dcterms:modified xsi:type="dcterms:W3CDTF">2024-01-18T12:19:00Z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065F9FD50E9941A8A9770C6FC457AB1B_13</vt:lpwstr>
  </property>
</Properties>
</file>